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93B0" w14:textId="77777777" w:rsidR="00F765D2" w:rsidRDefault="0046218E" w:rsidP="00B53876">
      <w:pPr>
        <w:jc w:val="center"/>
        <w:rPr>
          <w:b/>
          <w:smallCaps/>
          <w:sz w:val="32"/>
          <w:szCs w:val="32"/>
        </w:rPr>
      </w:pPr>
      <w:r>
        <w:rPr>
          <w:b/>
          <w:smallCaps/>
          <w:sz w:val="32"/>
          <w:szCs w:val="32"/>
        </w:rPr>
        <w:t>Centre Foundation</w:t>
      </w:r>
    </w:p>
    <w:p w14:paraId="6629A831" w14:textId="77777777" w:rsidR="00C47FD7" w:rsidRPr="00B53876" w:rsidRDefault="00C47FD7" w:rsidP="00B53876">
      <w:pPr>
        <w:jc w:val="center"/>
        <w:rPr>
          <w:b/>
          <w:smallCaps/>
          <w:sz w:val="32"/>
          <w:szCs w:val="32"/>
        </w:rPr>
      </w:pPr>
    </w:p>
    <w:p w14:paraId="67265729" w14:textId="77777777" w:rsidR="00F765D2" w:rsidRDefault="00F765D2" w:rsidP="00B53876">
      <w:pPr>
        <w:jc w:val="center"/>
        <w:rPr>
          <w:b/>
          <w:sz w:val="28"/>
          <w:szCs w:val="28"/>
        </w:rPr>
      </w:pPr>
      <w:r w:rsidRPr="00B53876">
        <w:rPr>
          <w:b/>
          <w:sz w:val="28"/>
          <w:szCs w:val="28"/>
        </w:rPr>
        <w:t>Statement of Investment Objectives and Policies</w:t>
      </w:r>
    </w:p>
    <w:p w14:paraId="44EAA74C" w14:textId="77777777" w:rsidR="00C47FD7" w:rsidRPr="00B53876" w:rsidRDefault="00C47FD7" w:rsidP="00B53876">
      <w:pPr>
        <w:jc w:val="center"/>
        <w:rPr>
          <w:b/>
          <w:sz w:val="28"/>
          <w:szCs w:val="28"/>
        </w:rPr>
      </w:pPr>
    </w:p>
    <w:p w14:paraId="7920DB8F" w14:textId="3211095D" w:rsidR="00F765D2" w:rsidRPr="00157C3D" w:rsidRDefault="00227855" w:rsidP="002542C0">
      <w:pPr>
        <w:jc w:val="center"/>
        <w:outlineLvl w:val="0"/>
        <w:rPr>
          <w:b/>
          <w:sz w:val="28"/>
          <w:szCs w:val="28"/>
        </w:rPr>
      </w:pPr>
      <w:r>
        <w:rPr>
          <w:b/>
          <w:sz w:val="28"/>
          <w:szCs w:val="28"/>
        </w:rPr>
        <w:t xml:space="preserve">Approved </w:t>
      </w:r>
      <w:r w:rsidR="00EA46A3">
        <w:rPr>
          <w:b/>
          <w:sz w:val="28"/>
          <w:szCs w:val="28"/>
        </w:rPr>
        <w:t>September 3, 2020</w:t>
      </w:r>
    </w:p>
    <w:p w14:paraId="7C93EBB1" w14:textId="77777777" w:rsidR="008A65A0" w:rsidRPr="00B53876" w:rsidRDefault="008A65A0" w:rsidP="002542C0">
      <w:pPr>
        <w:jc w:val="center"/>
        <w:outlineLvl w:val="0"/>
        <w:rPr>
          <w:b/>
          <w:sz w:val="28"/>
          <w:szCs w:val="28"/>
        </w:rPr>
      </w:pPr>
    </w:p>
    <w:p w14:paraId="51C5D11F" w14:textId="77777777" w:rsidR="004375CD" w:rsidRPr="0046218E" w:rsidRDefault="004375CD" w:rsidP="004375CD">
      <w:pPr>
        <w:rPr>
          <w:sz w:val="22"/>
          <w:szCs w:val="22"/>
        </w:rPr>
      </w:pPr>
    </w:p>
    <w:p w14:paraId="2CF47ACA" w14:textId="77777777" w:rsidR="004375CD" w:rsidRPr="0046218E" w:rsidRDefault="004375CD" w:rsidP="004375CD">
      <w:pPr>
        <w:numPr>
          <w:ilvl w:val="0"/>
          <w:numId w:val="5"/>
        </w:numPr>
        <w:rPr>
          <w:b/>
          <w:sz w:val="22"/>
          <w:szCs w:val="22"/>
        </w:rPr>
      </w:pPr>
      <w:r w:rsidRPr="0046218E">
        <w:rPr>
          <w:b/>
          <w:sz w:val="22"/>
          <w:szCs w:val="22"/>
        </w:rPr>
        <w:t>DESCRIPTION OF THE FOUNDATION</w:t>
      </w:r>
    </w:p>
    <w:p w14:paraId="3A1759C5" w14:textId="77777777" w:rsidR="00B53876" w:rsidRPr="0046218E" w:rsidRDefault="00B53876" w:rsidP="00B53876">
      <w:pPr>
        <w:ind w:left="360"/>
        <w:rPr>
          <w:sz w:val="22"/>
          <w:szCs w:val="22"/>
        </w:rPr>
      </w:pPr>
    </w:p>
    <w:p w14:paraId="2CDBB1DC" w14:textId="77777777" w:rsidR="00B53876" w:rsidRPr="0046218E" w:rsidRDefault="00B53876" w:rsidP="00B53876">
      <w:pPr>
        <w:ind w:left="360"/>
        <w:rPr>
          <w:sz w:val="22"/>
          <w:szCs w:val="22"/>
        </w:rPr>
      </w:pPr>
      <w:r w:rsidRPr="0046218E">
        <w:rPr>
          <w:sz w:val="22"/>
          <w:szCs w:val="22"/>
        </w:rPr>
        <w:t xml:space="preserve">The </w:t>
      </w:r>
      <w:r w:rsidR="0046218E" w:rsidRPr="0046218E">
        <w:rPr>
          <w:sz w:val="22"/>
          <w:szCs w:val="22"/>
        </w:rPr>
        <w:t>Centre Foundation</w:t>
      </w:r>
      <w:r w:rsidRPr="0046218E">
        <w:rPr>
          <w:sz w:val="22"/>
          <w:szCs w:val="22"/>
        </w:rPr>
        <w:t xml:space="preserve"> (the “Foundation”) is a collection of donations from private</w:t>
      </w:r>
      <w:r w:rsidR="004B3901" w:rsidRPr="0046218E">
        <w:rPr>
          <w:sz w:val="22"/>
          <w:szCs w:val="22"/>
        </w:rPr>
        <w:t xml:space="preserve"> citizens and</w:t>
      </w:r>
      <w:r w:rsidRPr="0046218E">
        <w:rPr>
          <w:sz w:val="22"/>
          <w:szCs w:val="22"/>
        </w:rPr>
        <w:t xml:space="preserve"> organizations that, in </w:t>
      </w:r>
      <w:r w:rsidR="00AE08C6" w:rsidRPr="0046218E">
        <w:rPr>
          <w:sz w:val="22"/>
          <w:szCs w:val="22"/>
        </w:rPr>
        <w:t xml:space="preserve">the </w:t>
      </w:r>
      <w:r w:rsidRPr="0046218E">
        <w:rPr>
          <w:sz w:val="22"/>
          <w:szCs w:val="22"/>
        </w:rPr>
        <w:t>aggregate, for</w:t>
      </w:r>
      <w:r w:rsidR="004B3901" w:rsidRPr="0046218E">
        <w:rPr>
          <w:sz w:val="22"/>
          <w:szCs w:val="22"/>
        </w:rPr>
        <w:t>m</w:t>
      </w:r>
      <w:r w:rsidRPr="0046218E">
        <w:rPr>
          <w:sz w:val="22"/>
          <w:szCs w:val="22"/>
        </w:rPr>
        <w:t xml:space="preserve"> a fund or series of funds. The fund supports grant making to selected charities within the community and the operating expenses of the Foundation.</w:t>
      </w:r>
    </w:p>
    <w:p w14:paraId="03430FDB" w14:textId="77777777" w:rsidR="00B53876" w:rsidRPr="0046218E" w:rsidRDefault="00B53876" w:rsidP="00B53876">
      <w:pPr>
        <w:ind w:left="360"/>
        <w:rPr>
          <w:sz w:val="22"/>
          <w:szCs w:val="22"/>
        </w:rPr>
      </w:pPr>
    </w:p>
    <w:p w14:paraId="3EC3EA3F" w14:textId="77777777" w:rsidR="00B53876" w:rsidRPr="0046218E" w:rsidRDefault="00B53876" w:rsidP="00B53876">
      <w:pPr>
        <w:ind w:left="360"/>
        <w:rPr>
          <w:sz w:val="22"/>
          <w:szCs w:val="22"/>
        </w:rPr>
      </w:pPr>
      <w:r w:rsidRPr="0046218E">
        <w:rPr>
          <w:sz w:val="22"/>
          <w:szCs w:val="22"/>
        </w:rPr>
        <w:t>The Foundation is a publicly supported charitable organization under Section 501 (c) (3) of the Internal Revenue Code. Its purpose is to be a vehicle to receive and accept gifts to be administered for charitable purposes primarily in and for the Centre County Region of Pennsylvania.</w:t>
      </w:r>
    </w:p>
    <w:p w14:paraId="7CFE5ABC" w14:textId="77777777" w:rsidR="001C2528" w:rsidRPr="0046218E" w:rsidRDefault="001C2528" w:rsidP="00B53876">
      <w:pPr>
        <w:ind w:left="360"/>
        <w:rPr>
          <w:sz w:val="22"/>
          <w:szCs w:val="22"/>
        </w:rPr>
      </w:pPr>
    </w:p>
    <w:p w14:paraId="44EBEC10" w14:textId="77777777" w:rsidR="00B53876" w:rsidRPr="0046218E" w:rsidRDefault="00B53876" w:rsidP="00B53876">
      <w:pPr>
        <w:ind w:left="360"/>
        <w:rPr>
          <w:sz w:val="22"/>
          <w:szCs w:val="22"/>
        </w:rPr>
      </w:pPr>
    </w:p>
    <w:p w14:paraId="29CBEEC4" w14:textId="77777777" w:rsidR="004375CD" w:rsidRPr="0046218E" w:rsidRDefault="004375CD" w:rsidP="004375CD">
      <w:pPr>
        <w:numPr>
          <w:ilvl w:val="0"/>
          <w:numId w:val="5"/>
        </w:numPr>
        <w:rPr>
          <w:b/>
          <w:sz w:val="22"/>
          <w:szCs w:val="22"/>
        </w:rPr>
      </w:pPr>
      <w:r w:rsidRPr="0046218E">
        <w:rPr>
          <w:b/>
          <w:sz w:val="22"/>
          <w:szCs w:val="22"/>
        </w:rPr>
        <w:t>PURPOSE OF STATEMENT</w:t>
      </w:r>
    </w:p>
    <w:p w14:paraId="0F939D96" w14:textId="77777777" w:rsidR="00B53876" w:rsidRPr="0046218E" w:rsidRDefault="00B53876" w:rsidP="00B53876">
      <w:pPr>
        <w:ind w:left="360"/>
        <w:rPr>
          <w:sz w:val="22"/>
          <w:szCs w:val="22"/>
        </w:rPr>
      </w:pPr>
    </w:p>
    <w:p w14:paraId="2D1148CD" w14:textId="77777777" w:rsidR="00B53876" w:rsidRPr="0046218E" w:rsidRDefault="00B53876" w:rsidP="00B53876">
      <w:pPr>
        <w:ind w:left="360"/>
        <w:rPr>
          <w:sz w:val="22"/>
          <w:szCs w:val="22"/>
        </w:rPr>
      </w:pPr>
      <w:r w:rsidRPr="0046218E">
        <w:rPr>
          <w:sz w:val="22"/>
          <w:szCs w:val="22"/>
        </w:rPr>
        <w:t>This Statement of Investme</w:t>
      </w:r>
      <w:r w:rsidR="001A5C63" w:rsidRPr="0046218E">
        <w:rPr>
          <w:sz w:val="22"/>
          <w:szCs w:val="22"/>
        </w:rPr>
        <w:t>nt Objectives and Policies (the “</w:t>
      </w:r>
      <w:r w:rsidRPr="0046218E">
        <w:rPr>
          <w:sz w:val="22"/>
          <w:szCs w:val="22"/>
        </w:rPr>
        <w:t>Statement”) is intended to:</w:t>
      </w:r>
    </w:p>
    <w:p w14:paraId="0B22BAFD" w14:textId="77777777" w:rsidR="00B53876" w:rsidRPr="0046218E" w:rsidRDefault="00B53876" w:rsidP="00B53876">
      <w:pPr>
        <w:ind w:left="360"/>
        <w:rPr>
          <w:sz w:val="22"/>
          <w:szCs w:val="22"/>
        </w:rPr>
      </w:pPr>
    </w:p>
    <w:p w14:paraId="4E6C3F92" w14:textId="77777777" w:rsidR="004375CD" w:rsidRPr="0046218E" w:rsidRDefault="004375CD" w:rsidP="004375CD">
      <w:pPr>
        <w:numPr>
          <w:ilvl w:val="1"/>
          <w:numId w:val="5"/>
        </w:numPr>
        <w:rPr>
          <w:sz w:val="22"/>
          <w:szCs w:val="22"/>
        </w:rPr>
      </w:pPr>
      <w:r w:rsidRPr="0046218E">
        <w:rPr>
          <w:sz w:val="22"/>
          <w:szCs w:val="22"/>
        </w:rPr>
        <w:t xml:space="preserve">Outline the investment-related responsibilities of the Board of Directors, the Investment Committee, the Foundation staff and the providers of investment </w:t>
      </w:r>
      <w:r w:rsidRPr="00B0789F">
        <w:rPr>
          <w:sz w:val="22"/>
          <w:szCs w:val="22"/>
        </w:rPr>
        <w:t xml:space="preserve">services </w:t>
      </w:r>
      <w:r w:rsidR="00346411" w:rsidRPr="00B0789F">
        <w:rPr>
          <w:sz w:val="22"/>
          <w:szCs w:val="22"/>
        </w:rPr>
        <w:t xml:space="preserve">(“Agents”) </w:t>
      </w:r>
      <w:r w:rsidRPr="00B0789F">
        <w:rPr>
          <w:sz w:val="22"/>
          <w:szCs w:val="22"/>
        </w:rPr>
        <w:t xml:space="preserve">retained </w:t>
      </w:r>
      <w:r w:rsidRPr="0046218E">
        <w:rPr>
          <w:sz w:val="22"/>
          <w:szCs w:val="22"/>
        </w:rPr>
        <w:t>to assist with the management of the Foundation.</w:t>
      </w:r>
    </w:p>
    <w:p w14:paraId="29CF9EB4" w14:textId="77777777" w:rsidR="00B53876" w:rsidRPr="0046218E" w:rsidRDefault="00B53876" w:rsidP="00B53876">
      <w:pPr>
        <w:ind w:left="1080"/>
        <w:rPr>
          <w:sz w:val="22"/>
          <w:szCs w:val="22"/>
        </w:rPr>
      </w:pPr>
    </w:p>
    <w:p w14:paraId="1D0830FD" w14:textId="77777777" w:rsidR="004375CD" w:rsidRPr="0046218E" w:rsidRDefault="004375CD" w:rsidP="004375CD">
      <w:pPr>
        <w:numPr>
          <w:ilvl w:val="1"/>
          <w:numId w:val="5"/>
        </w:numPr>
        <w:rPr>
          <w:sz w:val="22"/>
          <w:szCs w:val="22"/>
        </w:rPr>
      </w:pPr>
      <w:r w:rsidRPr="0046218E">
        <w:rPr>
          <w:sz w:val="22"/>
          <w:szCs w:val="22"/>
        </w:rPr>
        <w:t>Establish formal investment guidelines incorporating prudent risk parameters, appropriate asset guidelines and realistic return goals.</w:t>
      </w:r>
    </w:p>
    <w:p w14:paraId="5E4C2C54" w14:textId="77777777" w:rsidR="00B53876" w:rsidRPr="0046218E" w:rsidRDefault="00B53876" w:rsidP="00B53876">
      <w:pPr>
        <w:rPr>
          <w:sz w:val="22"/>
          <w:szCs w:val="22"/>
        </w:rPr>
      </w:pPr>
    </w:p>
    <w:p w14:paraId="2B4D8B3A" w14:textId="77777777" w:rsidR="004375CD" w:rsidRPr="00B0789F" w:rsidRDefault="004375CD" w:rsidP="004375CD">
      <w:pPr>
        <w:numPr>
          <w:ilvl w:val="1"/>
          <w:numId w:val="5"/>
        </w:numPr>
        <w:rPr>
          <w:sz w:val="22"/>
          <w:szCs w:val="22"/>
        </w:rPr>
      </w:pPr>
      <w:r w:rsidRPr="0046218E">
        <w:rPr>
          <w:sz w:val="22"/>
          <w:szCs w:val="22"/>
        </w:rPr>
        <w:t xml:space="preserve">Provide a framework for regular constructive communication between the Board, the Committee, the staff and the Foundation’s providers of investment </w:t>
      </w:r>
      <w:r w:rsidRPr="00B0789F">
        <w:rPr>
          <w:sz w:val="22"/>
          <w:szCs w:val="22"/>
        </w:rPr>
        <w:t>services</w:t>
      </w:r>
      <w:r w:rsidR="00346411" w:rsidRPr="00B0789F">
        <w:rPr>
          <w:sz w:val="22"/>
          <w:szCs w:val="22"/>
        </w:rPr>
        <w:t xml:space="preserve"> (“Agents”)</w:t>
      </w:r>
      <w:r w:rsidRPr="00B0789F">
        <w:rPr>
          <w:sz w:val="22"/>
          <w:szCs w:val="22"/>
        </w:rPr>
        <w:t>.</w:t>
      </w:r>
    </w:p>
    <w:p w14:paraId="58E2FB72" w14:textId="77777777" w:rsidR="00B53876" w:rsidRPr="0046218E" w:rsidRDefault="00B53876" w:rsidP="00B53876">
      <w:pPr>
        <w:rPr>
          <w:sz w:val="22"/>
          <w:szCs w:val="22"/>
        </w:rPr>
      </w:pPr>
    </w:p>
    <w:p w14:paraId="16D53A47" w14:textId="77777777" w:rsidR="004375CD" w:rsidRPr="0046218E" w:rsidRDefault="004375CD" w:rsidP="004375CD">
      <w:pPr>
        <w:numPr>
          <w:ilvl w:val="1"/>
          <w:numId w:val="5"/>
        </w:numPr>
        <w:rPr>
          <w:sz w:val="22"/>
          <w:szCs w:val="22"/>
        </w:rPr>
      </w:pPr>
      <w:r w:rsidRPr="0046218E">
        <w:rPr>
          <w:sz w:val="22"/>
          <w:szCs w:val="22"/>
        </w:rPr>
        <w:t>Create standards of investment performance by which the Investment Managers agree to be measured over a reasonable time period.</w:t>
      </w:r>
    </w:p>
    <w:p w14:paraId="0D2984EC" w14:textId="77777777" w:rsidR="00B53876" w:rsidRPr="0046218E" w:rsidRDefault="00B53876" w:rsidP="00B53876">
      <w:pPr>
        <w:rPr>
          <w:sz w:val="22"/>
          <w:szCs w:val="22"/>
        </w:rPr>
      </w:pPr>
    </w:p>
    <w:p w14:paraId="0CDCFE05" w14:textId="77777777" w:rsidR="00B53876" w:rsidRPr="0046218E" w:rsidRDefault="002542C0" w:rsidP="00B53876">
      <w:pPr>
        <w:ind w:left="360"/>
        <w:rPr>
          <w:sz w:val="22"/>
          <w:szCs w:val="22"/>
        </w:rPr>
      </w:pPr>
      <w:r w:rsidRPr="0046218E">
        <w:rPr>
          <w:sz w:val="22"/>
          <w:szCs w:val="22"/>
        </w:rPr>
        <w:t>It is intended that this S</w:t>
      </w:r>
      <w:r w:rsidR="00B53876" w:rsidRPr="0046218E">
        <w:rPr>
          <w:sz w:val="22"/>
          <w:szCs w:val="22"/>
        </w:rPr>
        <w:t>tatement will be reviewed at least annually by the Board of Directors and the Investment Committee to ensure the relevance of its contents to current capital market conditions and the needs of the Foundation.</w:t>
      </w:r>
    </w:p>
    <w:p w14:paraId="1509C6B5" w14:textId="77777777" w:rsidR="008A65A0" w:rsidRPr="0046218E" w:rsidRDefault="008A65A0" w:rsidP="00B53876">
      <w:pPr>
        <w:ind w:left="360"/>
        <w:rPr>
          <w:sz w:val="22"/>
          <w:szCs w:val="22"/>
        </w:rPr>
      </w:pPr>
    </w:p>
    <w:p w14:paraId="3318CCC5" w14:textId="77777777" w:rsidR="00B53876" w:rsidRPr="0046218E" w:rsidRDefault="00B53876" w:rsidP="00B53876">
      <w:pPr>
        <w:rPr>
          <w:sz w:val="22"/>
          <w:szCs w:val="22"/>
        </w:rPr>
      </w:pPr>
    </w:p>
    <w:p w14:paraId="59747230" w14:textId="77777777" w:rsidR="004375CD" w:rsidRPr="0046218E" w:rsidRDefault="004375CD" w:rsidP="004375CD">
      <w:pPr>
        <w:numPr>
          <w:ilvl w:val="0"/>
          <w:numId w:val="5"/>
        </w:numPr>
        <w:rPr>
          <w:b/>
          <w:sz w:val="22"/>
          <w:szCs w:val="22"/>
        </w:rPr>
      </w:pPr>
      <w:r w:rsidRPr="0046218E">
        <w:rPr>
          <w:b/>
          <w:sz w:val="22"/>
          <w:szCs w:val="22"/>
        </w:rPr>
        <w:t>INVESTMENT COMMITTEE</w:t>
      </w:r>
    </w:p>
    <w:p w14:paraId="634D865C" w14:textId="77777777" w:rsidR="00773277" w:rsidRPr="0046218E" w:rsidRDefault="00773277" w:rsidP="00773277">
      <w:pPr>
        <w:ind w:left="360"/>
        <w:rPr>
          <w:sz w:val="22"/>
          <w:szCs w:val="22"/>
        </w:rPr>
      </w:pPr>
    </w:p>
    <w:p w14:paraId="302858FB" w14:textId="77777777" w:rsidR="00773277" w:rsidRPr="0046218E" w:rsidRDefault="00773277" w:rsidP="00773277">
      <w:pPr>
        <w:ind w:left="360"/>
        <w:rPr>
          <w:sz w:val="22"/>
          <w:szCs w:val="22"/>
        </w:rPr>
      </w:pPr>
      <w:r w:rsidRPr="0046218E">
        <w:rPr>
          <w:sz w:val="22"/>
          <w:szCs w:val="22"/>
        </w:rPr>
        <w:t>The Board of Directors of the Foundation (the “Board”) has established an Investment Committee (the “Committee”). While the Board bears the overall fiduciary responsibility for the Foundation, the Committee shall recommend to the Boa</w:t>
      </w:r>
      <w:r w:rsidR="00CD4188" w:rsidRPr="0046218E">
        <w:rPr>
          <w:sz w:val="22"/>
          <w:szCs w:val="22"/>
        </w:rPr>
        <w:t>rd</w:t>
      </w:r>
      <w:r w:rsidRPr="0046218E">
        <w:rPr>
          <w:sz w:val="22"/>
          <w:szCs w:val="22"/>
        </w:rPr>
        <w:t xml:space="preserve"> the specific investment policy for the Foundation and shall be responsible for its day-to-day guidance, monitoring and oversight.</w:t>
      </w:r>
    </w:p>
    <w:p w14:paraId="16EA5BB2" w14:textId="77777777" w:rsidR="002542C0" w:rsidRPr="0046218E" w:rsidRDefault="002542C0" w:rsidP="00773277">
      <w:pPr>
        <w:ind w:left="360"/>
        <w:rPr>
          <w:sz w:val="22"/>
          <w:szCs w:val="22"/>
        </w:rPr>
      </w:pPr>
    </w:p>
    <w:p w14:paraId="37CC6C38" w14:textId="77777777" w:rsidR="00773277" w:rsidRPr="0046218E" w:rsidRDefault="00773277" w:rsidP="00773277">
      <w:pPr>
        <w:ind w:left="360"/>
        <w:rPr>
          <w:sz w:val="22"/>
          <w:szCs w:val="22"/>
        </w:rPr>
      </w:pPr>
    </w:p>
    <w:p w14:paraId="38606ECB" w14:textId="77777777" w:rsidR="004375CD" w:rsidRPr="0046218E" w:rsidRDefault="004375CD" w:rsidP="004375CD">
      <w:pPr>
        <w:numPr>
          <w:ilvl w:val="1"/>
          <w:numId w:val="5"/>
        </w:numPr>
        <w:rPr>
          <w:sz w:val="22"/>
          <w:szCs w:val="22"/>
        </w:rPr>
      </w:pPr>
      <w:r w:rsidRPr="0046218E">
        <w:rPr>
          <w:sz w:val="22"/>
          <w:szCs w:val="22"/>
        </w:rPr>
        <w:t>RESPONSIBILITES</w:t>
      </w:r>
    </w:p>
    <w:p w14:paraId="66874267" w14:textId="77777777" w:rsidR="00773277" w:rsidRPr="0046218E" w:rsidRDefault="00773277" w:rsidP="00773277">
      <w:pPr>
        <w:ind w:left="1080"/>
        <w:rPr>
          <w:sz w:val="22"/>
          <w:szCs w:val="22"/>
        </w:rPr>
      </w:pPr>
    </w:p>
    <w:p w14:paraId="6E0B4F65" w14:textId="77777777" w:rsidR="00773277" w:rsidRPr="0046218E" w:rsidRDefault="004A5EA4" w:rsidP="00773277">
      <w:pPr>
        <w:ind w:left="1080"/>
        <w:rPr>
          <w:sz w:val="22"/>
          <w:szCs w:val="22"/>
        </w:rPr>
      </w:pPr>
      <w:r w:rsidRPr="0046218E">
        <w:rPr>
          <w:sz w:val="22"/>
          <w:szCs w:val="22"/>
        </w:rPr>
        <w:t>Of t</w:t>
      </w:r>
      <w:r w:rsidR="00773277" w:rsidRPr="0046218E">
        <w:rPr>
          <w:sz w:val="22"/>
          <w:szCs w:val="22"/>
        </w:rPr>
        <w:t>he specific duties and responsibilit</w:t>
      </w:r>
      <w:r w:rsidR="008F4C11" w:rsidRPr="0046218E">
        <w:rPr>
          <w:sz w:val="22"/>
          <w:szCs w:val="22"/>
        </w:rPr>
        <w:t>ies of the Committee:</w:t>
      </w:r>
    </w:p>
    <w:p w14:paraId="42F1B7B3" w14:textId="77777777" w:rsidR="00773277" w:rsidRPr="0046218E" w:rsidRDefault="00773277" w:rsidP="00773277">
      <w:pPr>
        <w:ind w:left="1080"/>
        <w:rPr>
          <w:sz w:val="22"/>
          <w:szCs w:val="22"/>
        </w:rPr>
      </w:pPr>
    </w:p>
    <w:p w14:paraId="4E2117FB" w14:textId="77777777" w:rsidR="004375CD" w:rsidRPr="0046218E" w:rsidRDefault="004375CD" w:rsidP="009E3CF0">
      <w:pPr>
        <w:numPr>
          <w:ilvl w:val="2"/>
          <w:numId w:val="5"/>
        </w:numPr>
        <w:rPr>
          <w:sz w:val="22"/>
          <w:szCs w:val="22"/>
        </w:rPr>
      </w:pPr>
      <w:r w:rsidRPr="0046218E">
        <w:rPr>
          <w:sz w:val="22"/>
          <w:szCs w:val="22"/>
        </w:rPr>
        <w:lastRenderedPageBreak/>
        <w:t>Those requiring Board approva</w:t>
      </w:r>
      <w:r w:rsidR="004A5EA4" w:rsidRPr="0046218E">
        <w:rPr>
          <w:sz w:val="22"/>
          <w:szCs w:val="22"/>
        </w:rPr>
        <w:t>l are:</w:t>
      </w:r>
    </w:p>
    <w:p w14:paraId="66A1DCBC" w14:textId="77777777" w:rsidR="009E3CF0" w:rsidRPr="0046218E" w:rsidRDefault="009E3CF0" w:rsidP="009E3CF0">
      <w:pPr>
        <w:ind w:left="1980"/>
        <w:rPr>
          <w:sz w:val="22"/>
          <w:szCs w:val="22"/>
        </w:rPr>
      </w:pPr>
    </w:p>
    <w:p w14:paraId="6A9E0F5B" w14:textId="77777777" w:rsidR="004375CD" w:rsidRPr="0046218E" w:rsidRDefault="004375CD" w:rsidP="004375CD">
      <w:pPr>
        <w:numPr>
          <w:ilvl w:val="3"/>
          <w:numId w:val="5"/>
        </w:numPr>
        <w:rPr>
          <w:sz w:val="22"/>
          <w:szCs w:val="22"/>
        </w:rPr>
      </w:pPr>
      <w:r w:rsidRPr="0046218E">
        <w:rPr>
          <w:sz w:val="22"/>
          <w:szCs w:val="22"/>
        </w:rPr>
        <w:t>Recommend</w:t>
      </w:r>
      <w:r w:rsidR="004E3AEF" w:rsidRPr="0046218E">
        <w:rPr>
          <w:sz w:val="22"/>
          <w:szCs w:val="22"/>
        </w:rPr>
        <w:t>ed</w:t>
      </w:r>
      <w:r w:rsidRPr="0046218E">
        <w:rPr>
          <w:sz w:val="22"/>
          <w:szCs w:val="22"/>
        </w:rPr>
        <w:t xml:space="preserve"> investment objectives and policies </w:t>
      </w:r>
      <w:r w:rsidR="004E3AEF" w:rsidRPr="0046218E">
        <w:rPr>
          <w:sz w:val="22"/>
          <w:szCs w:val="22"/>
        </w:rPr>
        <w:t xml:space="preserve">as </w:t>
      </w:r>
      <w:r w:rsidRPr="0046218E">
        <w:rPr>
          <w:sz w:val="22"/>
          <w:szCs w:val="22"/>
        </w:rPr>
        <w:t>outlined in this</w:t>
      </w:r>
      <w:r w:rsidR="002542C0" w:rsidRPr="0046218E">
        <w:rPr>
          <w:sz w:val="22"/>
          <w:szCs w:val="22"/>
        </w:rPr>
        <w:t xml:space="preserve"> S</w:t>
      </w:r>
      <w:r w:rsidR="004E3AEF" w:rsidRPr="0046218E">
        <w:rPr>
          <w:sz w:val="22"/>
          <w:szCs w:val="22"/>
        </w:rPr>
        <w:t>tatement.</w:t>
      </w:r>
    </w:p>
    <w:p w14:paraId="4CC007F3" w14:textId="77777777" w:rsidR="009E3CF0" w:rsidRPr="0046218E" w:rsidRDefault="009E3CF0" w:rsidP="009E3CF0">
      <w:pPr>
        <w:ind w:left="2520"/>
        <w:rPr>
          <w:sz w:val="22"/>
          <w:szCs w:val="22"/>
        </w:rPr>
      </w:pPr>
    </w:p>
    <w:p w14:paraId="7DFDD2B6" w14:textId="77777777" w:rsidR="009E3CF0" w:rsidRPr="0046218E" w:rsidRDefault="004375CD" w:rsidP="009E3CF0">
      <w:pPr>
        <w:numPr>
          <w:ilvl w:val="3"/>
          <w:numId w:val="5"/>
        </w:numPr>
        <w:rPr>
          <w:sz w:val="22"/>
          <w:szCs w:val="22"/>
        </w:rPr>
      </w:pPr>
      <w:r w:rsidRPr="0046218E">
        <w:rPr>
          <w:sz w:val="22"/>
          <w:szCs w:val="22"/>
        </w:rPr>
        <w:t>Recommend</w:t>
      </w:r>
      <w:r w:rsidR="004E3AEF" w:rsidRPr="0046218E">
        <w:rPr>
          <w:sz w:val="22"/>
          <w:szCs w:val="22"/>
        </w:rPr>
        <w:t>ed</w:t>
      </w:r>
      <w:r w:rsidRPr="0046218E">
        <w:rPr>
          <w:sz w:val="22"/>
          <w:szCs w:val="22"/>
        </w:rPr>
        <w:t xml:space="preserve"> engagement or removal of investment service providers</w:t>
      </w:r>
      <w:r w:rsidR="004E3AEF" w:rsidRPr="0046218E">
        <w:rPr>
          <w:sz w:val="22"/>
          <w:szCs w:val="22"/>
        </w:rPr>
        <w:t>.</w:t>
      </w:r>
      <w:r w:rsidRPr="0046218E">
        <w:rPr>
          <w:sz w:val="22"/>
          <w:szCs w:val="22"/>
        </w:rPr>
        <w:t xml:space="preserve"> </w:t>
      </w:r>
    </w:p>
    <w:p w14:paraId="0D897D5E" w14:textId="77777777" w:rsidR="004E3AEF" w:rsidRPr="0046218E" w:rsidRDefault="004E3AEF" w:rsidP="004E3AEF">
      <w:pPr>
        <w:rPr>
          <w:sz w:val="22"/>
          <w:szCs w:val="22"/>
        </w:rPr>
      </w:pPr>
    </w:p>
    <w:p w14:paraId="6E9B2C54" w14:textId="77777777" w:rsidR="004375CD" w:rsidRPr="0046218E" w:rsidRDefault="004375CD" w:rsidP="004375CD">
      <w:pPr>
        <w:numPr>
          <w:ilvl w:val="3"/>
          <w:numId w:val="5"/>
        </w:numPr>
        <w:rPr>
          <w:sz w:val="22"/>
          <w:szCs w:val="22"/>
        </w:rPr>
      </w:pPr>
      <w:r w:rsidRPr="0046218E">
        <w:rPr>
          <w:sz w:val="22"/>
          <w:szCs w:val="22"/>
        </w:rPr>
        <w:t>Recommend</w:t>
      </w:r>
      <w:r w:rsidR="004E3AEF" w:rsidRPr="0046218E">
        <w:rPr>
          <w:sz w:val="22"/>
          <w:szCs w:val="22"/>
        </w:rPr>
        <w:t>ed</w:t>
      </w:r>
      <w:r w:rsidRPr="0046218E">
        <w:rPr>
          <w:sz w:val="22"/>
          <w:szCs w:val="22"/>
        </w:rPr>
        <w:t xml:space="preserve"> specific asset allocation percentage targets for</w:t>
      </w:r>
      <w:r w:rsidR="004E3AEF" w:rsidRPr="0046218E">
        <w:rPr>
          <w:sz w:val="22"/>
          <w:szCs w:val="22"/>
        </w:rPr>
        <w:t xml:space="preserve"> any Foundation commingled fund e.g. the general endowment pool, Charitable Gift Annuities Pool etc.</w:t>
      </w:r>
    </w:p>
    <w:p w14:paraId="520080A9" w14:textId="77777777" w:rsidR="004E3AEF" w:rsidRPr="0046218E" w:rsidRDefault="004E3AEF" w:rsidP="004E3AEF">
      <w:pPr>
        <w:rPr>
          <w:sz w:val="22"/>
          <w:szCs w:val="22"/>
        </w:rPr>
      </w:pPr>
    </w:p>
    <w:p w14:paraId="7854ADD4" w14:textId="77777777" w:rsidR="004E3AEF" w:rsidRPr="0046218E" w:rsidRDefault="004E3AEF" w:rsidP="004375CD">
      <w:pPr>
        <w:numPr>
          <w:ilvl w:val="3"/>
          <w:numId w:val="5"/>
        </w:numPr>
        <w:rPr>
          <w:sz w:val="22"/>
          <w:szCs w:val="22"/>
        </w:rPr>
      </w:pPr>
      <w:r w:rsidRPr="0046218E">
        <w:rPr>
          <w:sz w:val="22"/>
          <w:szCs w:val="22"/>
        </w:rPr>
        <w:t>Recommended Spending Policies for grant making and operations.</w:t>
      </w:r>
    </w:p>
    <w:p w14:paraId="639DA76F" w14:textId="77777777" w:rsidR="004E3AEF" w:rsidRPr="0046218E" w:rsidRDefault="004E3AEF" w:rsidP="004E3AEF">
      <w:pPr>
        <w:rPr>
          <w:sz w:val="22"/>
          <w:szCs w:val="22"/>
        </w:rPr>
      </w:pPr>
    </w:p>
    <w:p w14:paraId="322D2C42" w14:textId="77777777" w:rsidR="004E3AEF" w:rsidRPr="0046218E" w:rsidRDefault="004E3AEF" w:rsidP="004375CD">
      <w:pPr>
        <w:numPr>
          <w:ilvl w:val="3"/>
          <w:numId w:val="5"/>
        </w:numPr>
        <w:rPr>
          <w:sz w:val="22"/>
          <w:szCs w:val="22"/>
        </w:rPr>
      </w:pPr>
      <w:r w:rsidRPr="0046218E">
        <w:rPr>
          <w:sz w:val="22"/>
          <w:szCs w:val="22"/>
        </w:rPr>
        <w:t>Recommended exceptions to any of the restrictions in this Statement.</w:t>
      </w:r>
    </w:p>
    <w:p w14:paraId="0A07BF24" w14:textId="77777777" w:rsidR="00332FCD" w:rsidRPr="0046218E" w:rsidRDefault="00332FCD" w:rsidP="00332FCD">
      <w:pPr>
        <w:rPr>
          <w:sz w:val="22"/>
          <w:szCs w:val="22"/>
        </w:rPr>
      </w:pPr>
    </w:p>
    <w:p w14:paraId="663C6F6A" w14:textId="77777777" w:rsidR="004375CD" w:rsidRPr="0046218E" w:rsidRDefault="004375CD" w:rsidP="004375CD">
      <w:pPr>
        <w:numPr>
          <w:ilvl w:val="2"/>
          <w:numId w:val="5"/>
        </w:numPr>
        <w:rPr>
          <w:sz w:val="22"/>
          <w:szCs w:val="22"/>
        </w:rPr>
      </w:pPr>
      <w:r w:rsidRPr="0046218E">
        <w:rPr>
          <w:sz w:val="22"/>
          <w:szCs w:val="22"/>
        </w:rPr>
        <w:t>Those not requiring Board approval:</w:t>
      </w:r>
    </w:p>
    <w:p w14:paraId="378B1D36" w14:textId="77777777" w:rsidR="00332FCD" w:rsidRPr="0046218E" w:rsidRDefault="00332FCD" w:rsidP="00332FCD">
      <w:pPr>
        <w:ind w:left="1980"/>
        <w:rPr>
          <w:sz w:val="22"/>
          <w:szCs w:val="22"/>
        </w:rPr>
      </w:pPr>
    </w:p>
    <w:p w14:paraId="6EEC6313" w14:textId="77777777" w:rsidR="004375CD" w:rsidRPr="0046218E" w:rsidRDefault="00761FF2" w:rsidP="004375CD">
      <w:pPr>
        <w:numPr>
          <w:ilvl w:val="3"/>
          <w:numId w:val="5"/>
        </w:numPr>
        <w:rPr>
          <w:sz w:val="22"/>
          <w:szCs w:val="22"/>
        </w:rPr>
      </w:pPr>
      <w:r w:rsidRPr="0046218E">
        <w:rPr>
          <w:sz w:val="22"/>
          <w:szCs w:val="22"/>
        </w:rPr>
        <w:t>Providing</w:t>
      </w:r>
      <w:r w:rsidR="004375CD" w:rsidRPr="0046218E">
        <w:rPr>
          <w:sz w:val="22"/>
          <w:szCs w:val="22"/>
        </w:rPr>
        <w:t xml:space="preserve"> the Board with information regarding fund investment structure and performance against esta</w:t>
      </w:r>
      <w:r w:rsidRPr="0046218E">
        <w:rPr>
          <w:sz w:val="22"/>
          <w:szCs w:val="22"/>
        </w:rPr>
        <w:t>blished objectives and policies.</w:t>
      </w:r>
    </w:p>
    <w:p w14:paraId="7DA1D486" w14:textId="77777777" w:rsidR="00332FCD" w:rsidRPr="0046218E" w:rsidRDefault="00332FCD" w:rsidP="00332FCD">
      <w:pPr>
        <w:ind w:left="2520"/>
        <w:rPr>
          <w:sz w:val="22"/>
          <w:szCs w:val="22"/>
        </w:rPr>
      </w:pPr>
    </w:p>
    <w:p w14:paraId="44630600" w14:textId="77777777" w:rsidR="004375CD" w:rsidRPr="0046218E" w:rsidRDefault="004375CD" w:rsidP="004375CD">
      <w:pPr>
        <w:numPr>
          <w:ilvl w:val="3"/>
          <w:numId w:val="5"/>
        </w:numPr>
        <w:rPr>
          <w:sz w:val="22"/>
          <w:szCs w:val="22"/>
        </w:rPr>
      </w:pPr>
      <w:r w:rsidRPr="0046218E">
        <w:rPr>
          <w:sz w:val="22"/>
          <w:szCs w:val="22"/>
        </w:rPr>
        <w:t>Monitor</w:t>
      </w:r>
      <w:r w:rsidR="00761FF2" w:rsidRPr="0046218E">
        <w:rPr>
          <w:sz w:val="22"/>
          <w:szCs w:val="22"/>
        </w:rPr>
        <w:t>ing</w:t>
      </w:r>
      <w:r w:rsidRPr="0046218E">
        <w:rPr>
          <w:sz w:val="22"/>
          <w:szCs w:val="22"/>
        </w:rPr>
        <w:t xml:space="preserve"> the investments with regard to the Founda</w:t>
      </w:r>
      <w:r w:rsidR="00761FF2" w:rsidRPr="0046218E">
        <w:rPr>
          <w:sz w:val="22"/>
          <w:szCs w:val="22"/>
        </w:rPr>
        <w:t>tion’s fiduciary considerations.</w:t>
      </w:r>
    </w:p>
    <w:p w14:paraId="25EA0871" w14:textId="77777777" w:rsidR="00332FCD" w:rsidRPr="0046218E" w:rsidRDefault="00332FCD" w:rsidP="00332FCD">
      <w:pPr>
        <w:rPr>
          <w:sz w:val="22"/>
          <w:szCs w:val="22"/>
        </w:rPr>
      </w:pPr>
    </w:p>
    <w:p w14:paraId="1E5293BF" w14:textId="77777777" w:rsidR="004375CD" w:rsidRPr="0046218E" w:rsidRDefault="004375CD" w:rsidP="004375CD">
      <w:pPr>
        <w:numPr>
          <w:ilvl w:val="3"/>
          <w:numId w:val="5"/>
        </w:numPr>
        <w:rPr>
          <w:sz w:val="22"/>
          <w:szCs w:val="22"/>
        </w:rPr>
      </w:pPr>
      <w:r w:rsidRPr="0046218E">
        <w:rPr>
          <w:sz w:val="22"/>
          <w:szCs w:val="22"/>
        </w:rPr>
        <w:t>Establish</w:t>
      </w:r>
      <w:r w:rsidR="00761FF2" w:rsidRPr="0046218E">
        <w:rPr>
          <w:sz w:val="22"/>
          <w:szCs w:val="22"/>
        </w:rPr>
        <w:t>ing</w:t>
      </w:r>
      <w:r w:rsidRPr="0046218E">
        <w:rPr>
          <w:sz w:val="22"/>
          <w:szCs w:val="22"/>
        </w:rPr>
        <w:t xml:space="preserve"> specific asset allocation targets for each </w:t>
      </w:r>
      <w:r w:rsidR="00594A9E" w:rsidRPr="0046218E">
        <w:rPr>
          <w:sz w:val="22"/>
          <w:szCs w:val="22"/>
        </w:rPr>
        <w:t>I</w:t>
      </w:r>
      <w:r w:rsidRPr="0046218E">
        <w:rPr>
          <w:sz w:val="22"/>
          <w:szCs w:val="22"/>
        </w:rPr>
        <w:t xml:space="preserve">nvestment </w:t>
      </w:r>
      <w:r w:rsidR="00594A9E" w:rsidRPr="0046218E">
        <w:rPr>
          <w:sz w:val="22"/>
          <w:szCs w:val="22"/>
        </w:rPr>
        <w:t>A</w:t>
      </w:r>
      <w:r w:rsidRPr="0046218E">
        <w:rPr>
          <w:sz w:val="22"/>
          <w:szCs w:val="22"/>
        </w:rPr>
        <w:t>gent unless delegate</w:t>
      </w:r>
      <w:r w:rsidR="00594A9E" w:rsidRPr="0046218E">
        <w:rPr>
          <w:sz w:val="22"/>
          <w:szCs w:val="22"/>
        </w:rPr>
        <w:t>d to any individual Investment A</w:t>
      </w:r>
      <w:r w:rsidRPr="0046218E">
        <w:rPr>
          <w:sz w:val="22"/>
          <w:szCs w:val="22"/>
        </w:rPr>
        <w:t xml:space="preserve">gent </w:t>
      </w:r>
      <w:r w:rsidR="00761FF2" w:rsidRPr="0046218E">
        <w:rPr>
          <w:sz w:val="22"/>
          <w:szCs w:val="22"/>
        </w:rPr>
        <w:t>with Board approval.</w:t>
      </w:r>
    </w:p>
    <w:p w14:paraId="60FABECE" w14:textId="77777777" w:rsidR="00332FCD" w:rsidRPr="0046218E" w:rsidRDefault="00332FCD" w:rsidP="00332FCD">
      <w:pPr>
        <w:rPr>
          <w:sz w:val="22"/>
          <w:szCs w:val="22"/>
        </w:rPr>
      </w:pPr>
    </w:p>
    <w:p w14:paraId="0E76DC6D" w14:textId="77777777" w:rsidR="00332FCD" w:rsidRPr="0046218E" w:rsidRDefault="00332FCD" w:rsidP="004375CD">
      <w:pPr>
        <w:numPr>
          <w:ilvl w:val="3"/>
          <w:numId w:val="5"/>
        </w:numPr>
        <w:rPr>
          <w:sz w:val="22"/>
          <w:szCs w:val="22"/>
        </w:rPr>
      </w:pPr>
      <w:r w:rsidRPr="0046218E">
        <w:rPr>
          <w:sz w:val="22"/>
          <w:szCs w:val="22"/>
        </w:rPr>
        <w:t>Periodically review</w:t>
      </w:r>
      <w:r w:rsidR="00761FF2" w:rsidRPr="0046218E">
        <w:rPr>
          <w:sz w:val="22"/>
          <w:szCs w:val="22"/>
        </w:rPr>
        <w:t>ing</w:t>
      </w:r>
      <w:r w:rsidRPr="0046218E">
        <w:rPr>
          <w:sz w:val="22"/>
          <w:szCs w:val="22"/>
        </w:rPr>
        <w:t xml:space="preserve"> and recommend</w:t>
      </w:r>
      <w:r w:rsidR="00761FF2" w:rsidRPr="0046218E">
        <w:rPr>
          <w:sz w:val="22"/>
          <w:szCs w:val="22"/>
        </w:rPr>
        <w:t>ing</w:t>
      </w:r>
      <w:r w:rsidRPr="0046218E">
        <w:rPr>
          <w:sz w:val="22"/>
          <w:szCs w:val="22"/>
        </w:rPr>
        <w:t xml:space="preserve"> </w:t>
      </w:r>
      <w:r w:rsidR="00761FF2" w:rsidRPr="0046218E">
        <w:rPr>
          <w:sz w:val="22"/>
          <w:szCs w:val="22"/>
        </w:rPr>
        <w:t>spending rate</w:t>
      </w:r>
      <w:r w:rsidR="00FF6052" w:rsidRPr="0046218E">
        <w:rPr>
          <w:sz w:val="22"/>
          <w:szCs w:val="22"/>
        </w:rPr>
        <w:t>s</w:t>
      </w:r>
      <w:r w:rsidR="00761FF2" w:rsidRPr="0046218E">
        <w:rPr>
          <w:sz w:val="22"/>
          <w:szCs w:val="22"/>
        </w:rPr>
        <w:t xml:space="preserve"> to </w:t>
      </w:r>
      <w:r w:rsidR="00E34B49" w:rsidRPr="0046218E">
        <w:rPr>
          <w:sz w:val="22"/>
          <w:szCs w:val="22"/>
        </w:rPr>
        <w:t>the Board</w:t>
      </w:r>
      <w:r w:rsidR="00761FF2" w:rsidRPr="0046218E">
        <w:rPr>
          <w:sz w:val="22"/>
          <w:szCs w:val="22"/>
        </w:rPr>
        <w:t xml:space="preserve"> for grant-making and operating costs.</w:t>
      </w:r>
    </w:p>
    <w:p w14:paraId="00F2F12E" w14:textId="77777777" w:rsidR="00332FCD" w:rsidRPr="0046218E" w:rsidRDefault="00332FCD" w:rsidP="00332FCD">
      <w:pPr>
        <w:rPr>
          <w:sz w:val="22"/>
          <w:szCs w:val="22"/>
        </w:rPr>
      </w:pPr>
    </w:p>
    <w:p w14:paraId="031B324E" w14:textId="77777777" w:rsidR="004375CD" w:rsidRPr="0046218E" w:rsidRDefault="00761FF2" w:rsidP="004375CD">
      <w:pPr>
        <w:numPr>
          <w:ilvl w:val="3"/>
          <w:numId w:val="5"/>
        </w:numPr>
        <w:rPr>
          <w:sz w:val="22"/>
          <w:szCs w:val="22"/>
        </w:rPr>
      </w:pPr>
      <w:r w:rsidRPr="0046218E">
        <w:rPr>
          <w:sz w:val="22"/>
          <w:szCs w:val="22"/>
        </w:rPr>
        <w:t xml:space="preserve">Negotiation </w:t>
      </w:r>
      <w:r w:rsidR="00E34B49" w:rsidRPr="0046218E">
        <w:rPr>
          <w:sz w:val="22"/>
          <w:szCs w:val="22"/>
        </w:rPr>
        <w:t>of compensation</w:t>
      </w:r>
      <w:r w:rsidR="004375CD" w:rsidRPr="0046218E">
        <w:rPr>
          <w:sz w:val="22"/>
          <w:szCs w:val="22"/>
        </w:rPr>
        <w:t xml:space="preserve"> arrangements for investment service pro</w:t>
      </w:r>
      <w:r w:rsidRPr="0046218E">
        <w:rPr>
          <w:sz w:val="22"/>
          <w:szCs w:val="22"/>
        </w:rPr>
        <w:t>viders.</w:t>
      </w:r>
    </w:p>
    <w:p w14:paraId="45657D7A" w14:textId="77777777" w:rsidR="00332FCD" w:rsidRPr="0046218E" w:rsidRDefault="00332FCD" w:rsidP="00332FCD">
      <w:pPr>
        <w:rPr>
          <w:sz w:val="22"/>
          <w:szCs w:val="22"/>
        </w:rPr>
      </w:pPr>
    </w:p>
    <w:p w14:paraId="618B9DED" w14:textId="77777777" w:rsidR="004375CD" w:rsidRDefault="00761FF2" w:rsidP="004375CD">
      <w:pPr>
        <w:numPr>
          <w:ilvl w:val="3"/>
          <w:numId w:val="5"/>
        </w:numPr>
        <w:rPr>
          <w:sz w:val="22"/>
          <w:szCs w:val="22"/>
        </w:rPr>
      </w:pPr>
      <w:r w:rsidRPr="0046218E">
        <w:rPr>
          <w:sz w:val="22"/>
          <w:szCs w:val="22"/>
        </w:rPr>
        <w:t>Receiving</w:t>
      </w:r>
      <w:r w:rsidR="004375CD" w:rsidRPr="0046218E">
        <w:rPr>
          <w:sz w:val="22"/>
          <w:szCs w:val="22"/>
        </w:rPr>
        <w:t>, review</w:t>
      </w:r>
      <w:r w:rsidRPr="0046218E">
        <w:rPr>
          <w:sz w:val="22"/>
          <w:szCs w:val="22"/>
        </w:rPr>
        <w:t>ing</w:t>
      </w:r>
      <w:r w:rsidR="004375CD" w:rsidRPr="0046218E">
        <w:rPr>
          <w:sz w:val="22"/>
          <w:szCs w:val="22"/>
        </w:rPr>
        <w:t xml:space="preserve"> and retain</w:t>
      </w:r>
      <w:r w:rsidRPr="0046218E">
        <w:rPr>
          <w:sz w:val="22"/>
          <w:szCs w:val="22"/>
        </w:rPr>
        <w:t>ing</w:t>
      </w:r>
      <w:r w:rsidR="004375CD" w:rsidRPr="0046218E">
        <w:rPr>
          <w:sz w:val="22"/>
          <w:szCs w:val="22"/>
        </w:rPr>
        <w:t xml:space="preserve"> the reports of the investment service providers and any other external reports on the financial condition of the Foundation.</w:t>
      </w:r>
    </w:p>
    <w:p w14:paraId="44366E34" w14:textId="77777777" w:rsidR="00531826" w:rsidRDefault="00531826" w:rsidP="00531826">
      <w:pPr>
        <w:pStyle w:val="ListParagraph"/>
        <w:rPr>
          <w:sz w:val="22"/>
          <w:szCs w:val="22"/>
        </w:rPr>
      </w:pPr>
    </w:p>
    <w:p w14:paraId="772EAA50" w14:textId="77777777" w:rsidR="00531826" w:rsidRPr="00B0789F" w:rsidRDefault="00531826" w:rsidP="004375CD">
      <w:pPr>
        <w:numPr>
          <w:ilvl w:val="3"/>
          <w:numId w:val="5"/>
        </w:numPr>
        <w:rPr>
          <w:sz w:val="22"/>
          <w:szCs w:val="22"/>
        </w:rPr>
      </w:pPr>
      <w:r w:rsidRPr="00B0789F">
        <w:rPr>
          <w:sz w:val="22"/>
          <w:szCs w:val="22"/>
        </w:rPr>
        <w:t>Making direct investments into individual mutual funds or ETF’s in accordance with this Investment Policy</w:t>
      </w:r>
      <w:r w:rsidR="00ED65F6" w:rsidRPr="00B0789F">
        <w:rPr>
          <w:sz w:val="22"/>
          <w:szCs w:val="22"/>
        </w:rPr>
        <w:t xml:space="preserve"> as authorized and instructed by the Investment Committee</w:t>
      </w:r>
      <w:r w:rsidRPr="00B0789F">
        <w:rPr>
          <w:sz w:val="22"/>
          <w:szCs w:val="22"/>
        </w:rPr>
        <w:t>.</w:t>
      </w:r>
    </w:p>
    <w:p w14:paraId="5448AEB4" w14:textId="77777777" w:rsidR="00332FCD" w:rsidRPr="0046218E" w:rsidRDefault="00332FCD" w:rsidP="00332FCD">
      <w:pPr>
        <w:rPr>
          <w:sz w:val="22"/>
          <w:szCs w:val="22"/>
        </w:rPr>
      </w:pPr>
    </w:p>
    <w:p w14:paraId="0363221C" w14:textId="77777777" w:rsidR="004375CD" w:rsidRPr="00346411" w:rsidRDefault="004375CD" w:rsidP="00346411">
      <w:pPr>
        <w:pStyle w:val="ListParagraph"/>
        <w:numPr>
          <w:ilvl w:val="1"/>
          <w:numId w:val="5"/>
        </w:numPr>
        <w:rPr>
          <w:sz w:val="22"/>
          <w:szCs w:val="22"/>
        </w:rPr>
      </w:pPr>
      <w:r w:rsidRPr="00346411">
        <w:rPr>
          <w:sz w:val="22"/>
          <w:szCs w:val="22"/>
        </w:rPr>
        <w:t>COMMITTEE OPERATION</w:t>
      </w:r>
    </w:p>
    <w:p w14:paraId="0D20432C" w14:textId="77777777" w:rsidR="00332FCD" w:rsidRPr="0046218E" w:rsidRDefault="00332FCD" w:rsidP="00332FCD">
      <w:pPr>
        <w:ind w:left="1980"/>
        <w:rPr>
          <w:sz w:val="22"/>
          <w:szCs w:val="22"/>
        </w:rPr>
      </w:pPr>
    </w:p>
    <w:p w14:paraId="29BDAEE6" w14:textId="77777777" w:rsidR="004375CD" w:rsidRPr="00346411" w:rsidRDefault="004375CD" w:rsidP="00346411">
      <w:pPr>
        <w:pStyle w:val="ListParagraph"/>
        <w:numPr>
          <w:ilvl w:val="2"/>
          <w:numId w:val="5"/>
        </w:numPr>
        <w:rPr>
          <w:sz w:val="22"/>
          <w:szCs w:val="22"/>
        </w:rPr>
      </w:pPr>
      <w:r w:rsidRPr="00346411">
        <w:rPr>
          <w:sz w:val="22"/>
          <w:szCs w:val="22"/>
        </w:rPr>
        <w:t>The Committee shall meet as required, but not less than four times each year.</w:t>
      </w:r>
      <w:r w:rsidR="00761FF2" w:rsidRPr="00346411">
        <w:rPr>
          <w:sz w:val="22"/>
          <w:szCs w:val="22"/>
        </w:rPr>
        <w:t xml:space="preserve"> </w:t>
      </w:r>
      <w:r w:rsidRPr="00346411">
        <w:rPr>
          <w:sz w:val="22"/>
          <w:szCs w:val="22"/>
        </w:rPr>
        <w:t>The actions of the Committee shall be recorded in formal minutes.</w:t>
      </w:r>
      <w:r w:rsidR="00761FF2" w:rsidRPr="00346411">
        <w:rPr>
          <w:sz w:val="22"/>
          <w:szCs w:val="22"/>
        </w:rPr>
        <w:t xml:space="preserve"> </w:t>
      </w:r>
      <w:r w:rsidRPr="00346411">
        <w:rPr>
          <w:sz w:val="22"/>
          <w:szCs w:val="22"/>
        </w:rPr>
        <w:t>The Committee may adopt procedures necessary to conduct its affairs.</w:t>
      </w:r>
    </w:p>
    <w:p w14:paraId="6CEB8512" w14:textId="77777777" w:rsidR="00332FCD" w:rsidRPr="0046218E" w:rsidRDefault="00332FCD" w:rsidP="00332FCD">
      <w:pPr>
        <w:rPr>
          <w:sz w:val="22"/>
          <w:szCs w:val="22"/>
        </w:rPr>
      </w:pPr>
    </w:p>
    <w:p w14:paraId="225CE360" w14:textId="77777777" w:rsidR="004375CD" w:rsidRPr="00346411" w:rsidRDefault="004375CD" w:rsidP="00346411">
      <w:pPr>
        <w:pStyle w:val="ListParagraph"/>
        <w:numPr>
          <w:ilvl w:val="2"/>
          <w:numId w:val="5"/>
        </w:numPr>
        <w:rPr>
          <w:sz w:val="22"/>
          <w:szCs w:val="22"/>
        </w:rPr>
      </w:pPr>
      <w:r w:rsidRPr="00346411">
        <w:rPr>
          <w:sz w:val="22"/>
          <w:szCs w:val="22"/>
        </w:rPr>
        <w:t>The Comm</w:t>
      </w:r>
      <w:r w:rsidR="00594A9E" w:rsidRPr="00346411">
        <w:rPr>
          <w:sz w:val="22"/>
          <w:szCs w:val="22"/>
        </w:rPr>
        <w:t>ittee may authorize members or A</w:t>
      </w:r>
      <w:r w:rsidRPr="00346411">
        <w:rPr>
          <w:sz w:val="22"/>
          <w:szCs w:val="22"/>
        </w:rPr>
        <w:t>gents to execute or deliver any instrument on its behalf including voting of proxies for securities or funds held.</w:t>
      </w:r>
      <w:r w:rsidR="00594A9E" w:rsidRPr="00346411">
        <w:rPr>
          <w:sz w:val="22"/>
          <w:szCs w:val="22"/>
        </w:rPr>
        <w:t xml:space="preserve"> In such cases where an A</w:t>
      </w:r>
      <w:r w:rsidR="003A1A43" w:rsidRPr="00346411">
        <w:rPr>
          <w:sz w:val="22"/>
          <w:szCs w:val="22"/>
        </w:rPr>
        <w:t>gent is not permitted by law or rule to vote proxies on behalf of the Foundation, the Executive Director or Chair is authorized to vote proxies.</w:t>
      </w:r>
    </w:p>
    <w:p w14:paraId="608B99A3" w14:textId="77777777" w:rsidR="00332FCD" w:rsidRPr="0046218E" w:rsidRDefault="00332FCD" w:rsidP="00332FCD">
      <w:pPr>
        <w:rPr>
          <w:sz w:val="22"/>
          <w:szCs w:val="22"/>
        </w:rPr>
      </w:pPr>
    </w:p>
    <w:p w14:paraId="6691F228" w14:textId="77777777" w:rsidR="003A1A43" w:rsidRPr="00346411" w:rsidRDefault="003A1A43" w:rsidP="00346411">
      <w:pPr>
        <w:pStyle w:val="ListParagraph"/>
        <w:numPr>
          <w:ilvl w:val="2"/>
          <w:numId w:val="5"/>
        </w:numPr>
        <w:rPr>
          <w:sz w:val="22"/>
          <w:szCs w:val="22"/>
        </w:rPr>
      </w:pPr>
      <w:r w:rsidRPr="00346411">
        <w:rPr>
          <w:sz w:val="22"/>
          <w:szCs w:val="22"/>
        </w:rPr>
        <w:t>The staff of the Foundation</w:t>
      </w:r>
      <w:r w:rsidR="006E119A" w:rsidRPr="00346411">
        <w:rPr>
          <w:sz w:val="22"/>
          <w:szCs w:val="22"/>
        </w:rPr>
        <w:t xml:space="preserve"> is authorized to carry out </w:t>
      </w:r>
      <w:r w:rsidRPr="00346411">
        <w:rPr>
          <w:sz w:val="22"/>
          <w:szCs w:val="22"/>
        </w:rPr>
        <w:t>administrative functions required by Committee action.</w:t>
      </w:r>
    </w:p>
    <w:p w14:paraId="0803D09C" w14:textId="77777777" w:rsidR="001C2528" w:rsidRPr="0046218E" w:rsidRDefault="001C2528" w:rsidP="001C2528">
      <w:pPr>
        <w:rPr>
          <w:sz w:val="22"/>
          <w:szCs w:val="22"/>
        </w:rPr>
      </w:pPr>
    </w:p>
    <w:p w14:paraId="1566AF9D" w14:textId="77777777" w:rsidR="00332FCD" w:rsidRPr="0046218E" w:rsidRDefault="00332FCD" w:rsidP="00332FCD">
      <w:pPr>
        <w:rPr>
          <w:sz w:val="22"/>
          <w:szCs w:val="22"/>
        </w:rPr>
      </w:pPr>
    </w:p>
    <w:p w14:paraId="1F6BE3B1" w14:textId="77777777" w:rsidR="003A1A43" w:rsidRPr="0046218E" w:rsidRDefault="003A1A43" w:rsidP="003A1A43">
      <w:pPr>
        <w:numPr>
          <w:ilvl w:val="0"/>
          <w:numId w:val="5"/>
        </w:numPr>
        <w:rPr>
          <w:b/>
          <w:sz w:val="22"/>
          <w:szCs w:val="22"/>
        </w:rPr>
      </w:pPr>
      <w:r w:rsidRPr="0046218E">
        <w:rPr>
          <w:b/>
          <w:sz w:val="22"/>
          <w:szCs w:val="22"/>
        </w:rPr>
        <w:t>INVESTMENT POLICY</w:t>
      </w:r>
    </w:p>
    <w:p w14:paraId="090AC5FC" w14:textId="77777777" w:rsidR="00332FCD" w:rsidRPr="0046218E" w:rsidRDefault="00332FCD" w:rsidP="00332FCD">
      <w:pPr>
        <w:ind w:left="360"/>
        <w:rPr>
          <w:sz w:val="22"/>
          <w:szCs w:val="22"/>
        </w:rPr>
      </w:pPr>
    </w:p>
    <w:p w14:paraId="7D5A0F5D" w14:textId="77777777" w:rsidR="003A1A43" w:rsidRPr="0046218E" w:rsidRDefault="003A1A43" w:rsidP="003A1A43">
      <w:pPr>
        <w:numPr>
          <w:ilvl w:val="1"/>
          <w:numId w:val="5"/>
        </w:numPr>
        <w:rPr>
          <w:sz w:val="22"/>
          <w:szCs w:val="22"/>
        </w:rPr>
      </w:pPr>
      <w:r w:rsidRPr="0046218E">
        <w:rPr>
          <w:sz w:val="22"/>
          <w:szCs w:val="22"/>
        </w:rPr>
        <w:t>LONG-TERM GOALS</w:t>
      </w:r>
    </w:p>
    <w:p w14:paraId="030C532E" w14:textId="77777777" w:rsidR="00332FCD" w:rsidRPr="0046218E" w:rsidRDefault="00332FCD" w:rsidP="00332FCD">
      <w:pPr>
        <w:ind w:left="1080"/>
        <w:rPr>
          <w:sz w:val="22"/>
          <w:szCs w:val="22"/>
        </w:rPr>
      </w:pPr>
    </w:p>
    <w:p w14:paraId="0ADFD0E0" w14:textId="77777777" w:rsidR="00332FCD" w:rsidRPr="0046218E" w:rsidRDefault="00332FCD" w:rsidP="00332FCD">
      <w:pPr>
        <w:ind w:left="1080"/>
        <w:rPr>
          <w:sz w:val="22"/>
          <w:szCs w:val="22"/>
        </w:rPr>
      </w:pPr>
      <w:r w:rsidRPr="0046218E">
        <w:rPr>
          <w:sz w:val="22"/>
          <w:szCs w:val="22"/>
        </w:rPr>
        <w:t>The long-term goals of the Foundation’s investment and spending policy will be:</w:t>
      </w:r>
    </w:p>
    <w:p w14:paraId="475CC797" w14:textId="77777777" w:rsidR="00332FCD" w:rsidRPr="0046218E" w:rsidRDefault="00332FCD" w:rsidP="00332FCD">
      <w:pPr>
        <w:ind w:left="1080"/>
        <w:rPr>
          <w:sz w:val="22"/>
          <w:szCs w:val="22"/>
        </w:rPr>
      </w:pPr>
    </w:p>
    <w:p w14:paraId="4D61CEC0" w14:textId="77777777" w:rsidR="003A1A43" w:rsidRPr="0046218E" w:rsidRDefault="003A1A43" w:rsidP="003A1A43">
      <w:pPr>
        <w:numPr>
          <w:ilvl w:val="2"/>
          <w:numId w:val="5"/>
        </w:numPr>
        <w:rPr>
          <w:sz w:val="22"/>
          <w:szCs w:val="22"/>
        </w:rPr>
      </w:pPr>
      <w:r w:rsidRPr="0046218E">
        <w:rPr>
          <w:sz w:val="22"/>
          <w:szCs w:val="22"/>
        </w:rPr>
        <w:t>To protect the invested assets of the Foundation and strive to maximize the total return to the extent possible without assuming excessive risk;</w:t>
      </w:r>
    </w:p>
    <w:p w14:paraId="3C4583AD" w14:textId="77777777" w:rsidR="00332FCD" w:rsidRPr="0046218E" w:rsidRDefault="00332FCD" w:rsidP="00332FCD">
      <w:pPr>
        <w:ind w:left="1980"/>
        <w:rPr>
          <w:sz w:val="22"/>
          <w:szCs w:val="22"/>
        </w:rPr>
      </w:pPr>
    </w:p>
    <w:p w14:paraId="51D95B37" w14:textId="77777777" w:rsidR="003A1A43" w:rsidRPr="0046218E" w:rsidRDefault="003A1A43" w:rsidP="003A1A43">
      <w:pPr>
        <w:numPr>
          <w:ilvl w:val="2"/>
          <w:numId w:val="5"/>
        </w:numPr>
        <w:rPr>
          <w:sz w:val="22"/>
          <w:szCs w:val="22"/>
        </w:rPr>
      </w:pPr>
      <w:r w:rsidRPr="0046218E">
        <w:rPr>
          <w:sz w:val="22"/>
          <w:szCs w:val="22"/>
        </w:rPr>
        <w:t>To provide a relatively pr</w:t>
      </w:r>
      <w:r w:rsidR="00477DB2" w:rsidRPr="0046218E">
        <w:rPr>
          <w:sz w:val="22"/>
          <w:szCs w:val="22"/>
        </w:rPr>
        <w:t xml:space="preserve">edictable, stable and inflation </w:t>
      </w:r>
      <w:r w:rsidRPr="0046218E">
        <w:rPr>
          <w:sz w:val="22"/>
          <w:szCs w:val="22"/>
        </w:rPr>
        <w:t>adjusted payout stream for grant-making and operations;</w:t>
      </w:r>
    </w:p>
    <w:p w14:paraId="1A8D1EE1" w14:textId="77777777" w:rsidR="00332FCD" w:rsidRPr="0046218E" w:rsidRDefault="00332FCD" w:rsidP="00332FCD">
      <w:pPr>
        <w:rPr>
          <w:sz w:val="22"/>
          <w:szCs w:val="22"/>
        </w:rPr>
      </w:pPr>
    </w:p>
    <w:p w14:paraId="32E665AC" w14:textId="77777777" w:rsidR="003A1A43" w:rsidRPr="0046218E" w:rsidRDefault="003A1A43" w:rsidP="003A1A43">
      <w:pPr>
        <w:numPr>
          <w:ilvl w:val="2"/>
          <w:numId w:val="5"/>
        </w:numPr>
        <w:rPr>
          <w:sz w:val="22"/>
          <w:szCs w:val="22"/>
        </w:rPr>
      </w:pPr>
      <w:r w:rsidRPr="0046218E">
        <w:rPr>
          <w:sz w:val="22"/>
          <w:szCs w:val="22"/>
        </w:rPr>
        <w:t>To maintain a balance between spending and prote</w:t>
      </w:r>
      <w:r w:rsidR="005B3348" w:rsidRPr="0046218E">
        <w:rPr>
          <w:sz w:val="22"/>
          <w:szCs w:val="22"/>
        </w:rPr>
        <w:t xml:space="preserve">cting the real (i.e., inflation </w:t>
      </w:r>
      <w:r w:rsidRPr="0046218E">
        <w:rPr>
          <w:sz w:val="22"/>
          <w:szCs w:val="22"/>
        </w:rPr>
        <w:t>adjusted) value of the Foundation’s invested assets.</w:t>
      </w:r>
    </w:p>
    <w:p w14:paraId="4BD73959" w14:textId="77777777" w:rsidR="008A65A0" w:rsidRPr="0046218E" w:rsidRDefault="008A65A0" w:rsidP="008A65A0">
      <w:pPr>
        <w:rPr>
          <w:sz w:val="22"/>
          <w:szCs w:val="22"/>
        </w:rPr>
      </w:pPr>
    </w:p>
    <w:p w14:paraId="1ABFD836" w14:textId="77777777" w:rsidR="008A65A0" w:rsidRPr="0046218E" w:rsidRDefault="008A65A0" w:rsidP="008A65A0">
      <w:pPr>
        <w:rPr>
          <w:sz w:val="22"/>
          <w:szCs w:val="22"/>
        </w:rPr>
      </w:pPr>
    </w:p>
    <w:p w14:paraId="4CD65107" w14:textId="77777777" w:rsidR="003A1A43" w:rsidRPr="0046218E" w:rsidRDefault="003A1A43" w:rsidP="003A1A43">
      <w:pPr>
        <w:numPr>
          <w:ilvl w:val="1"/>
          <w:numId w:val="5"/>
        </w:numPr>
        <w:rPr>
          <w:sz w:val="22"/>
          <w:szCs w:val="22"/>
        </w:rPr>
      </w:pPr>
      <w:r w:rsidRPr="0046218E">
        <w:rPr>
          <w:sz w:val="22"/>
          <w:szCs w:val="22"/>
        </w:rPr>
        <w:t>INVESTMENT RETURN AND RISK PARAMETERS</w:t>
      </w:r>
    </w:p>
    <w:p w14:paraId="54EF6956" w14:textId="77777777" w:rsidR="00332FCD" w:rsidRPr="0046218E" w:rsidRDefault="00332FCD" w:rsidP="00332FCD">
      <w:pPr>
        <w:ind w:left="1080"/>
        <w:rPr>
          <w:sz w:val="22"/>
          <w:szCs w:val="22"/>
        </w:rPr>
      </w:pPr>
    </w:p>
    <w:p w14:paraId="7FA8E261" w14:textId="77777777" w:rsidR="003A1A43" w:rsidRPr="0046218E" w:rsidRDefault="003A1A43" w:rsidP="003A1A43">
      <w:pPr>
        <w:numPr>
          <w:ilvl w:val="2"/>
          <w:numId w:val="5"/>
        </w:numPr>
        <w:rPr>
          <w:sz w:val="22"/>
          <w:szCs w:val="22"/>
        </w:rPr>
      </w:pPr>
      <w:r w:rsidRPr="0046218E">
        <w:rPr>
          <w:sz w:val="22"/>
          <w:szCs w:val="22"/>
        </w:rPr>
        <w:t>Annualized Return</w:t>
      </w:r>
    </w:p>
    <w:p w14:paraId="0D0190C9" w14:textId="77777777" w:rsidR="00332FCD" w:rsidRPr="0046218E" w:rsidRDefault="00332FCD" w:rsidP="00332FCD">
      <w:pPr>
        <w:ind w:left="2160"/>
        <w:rPr>
          <w:sz w:val="22"/>
          <w:szCs w:val="22"/>
        </w:rPr>
      </w:pPr>
    </w:p>
    <w:p w14:paraId="101C3814" w14:textId="77777777" w:rsidR="00332FCD" w:rsidRPr="0046218E" w:rsidRDefault="00332FCD" w:rsidP="00332FCD">
      <w:pPr>
        <w:ind w:left="2160"/>
        <w:rPr>
          <w:sz w:val="22"/>
          <w:szCs w:val="22"/>
        </w:rPr>
      </w:pPr>
      <w:r w:rsidRPr="0046218E">
        <w:rPr>
          <w:sz w:val="22"/>
          <w:szCs w:val="22"/>
        </w:rPr>
        <w:t>The long-term objective is to achieve an average annualized total return that, at a minimum, will grow the invested assets by the rate of inflation, after having allowed for grant-making and operating expenses.</w:t>
      </w:r>
    </w:p>
    <w:p w14:paraId="25A00E91" w14:textId="77777777" w:rsidR="00332FCD" w:rsidRPr="0046218E" w:rsidRDefault="00332FCD" w:rsidP="00332FCD">
      <w:pPr>
        <w:ind w:left="2160"/>
        <w:rPr>
          <w:sz w:val="22"/>
          <w:szCs w:val="22"/>
        </w:rPr>
      </w:pPr>
    </w:p>
    <w:p w14:paraId="085B861A" w14:textId="77777777" w:rsidR="003A1A43" w:rsidRPr="0046218E" w:rsidRDefault="003A1A43" w:rsidP="003A1A43">
      <w:pPr>
        <w:numPr>
          <w:ilvl w:val="2"/>
          <w:numId w:val="5"/>
        </w:numPr>
        <w:rPr>
          <w:sz w:val="22"/>
          <w:szCs w:val="22"/>
        </w:rPr>
      </w:pPr>
      <w:r w:rsidRPr="0046218E">
        <w:rPr>
          <w:sz w:val="22"/>
          <w:szCs w:val="22"/>
        </w:rPr>
        <w:t>Total Return</w:t>
      </w:r>
    </w:p>
    <w:p w14:paraId="3A345A7A" w14:textId="77777777" w:rsidR="00332FCD" w:rsidRPr="0046218E" w:rsidRDefault="00332FCD" w:rsidP="00332FCD">
      <w:pPr>
        <w:ind w:left="2160"/>
        <w:rPr>
          <w:sz w:val="22"/>
          <w:szCs w:val="22"/>
        </w:rPr>
      </w:pPr>
    </w:p>
    <w:p w14:paraId="057FDBA8" w14:textId="77777777" w:rsidR="002542C0" w:rsidRPr="0046218E" w:rsidRDefault="00332FCD" w:rsidP="00332FCD">
      <w:pPr>
        <w:ind w:left="2160"/>
        <w:rPr>
          <w:sz w:val="22"/>
          <w:szCs w:val="22"/>
        </w:rPr>
      </w:pPr>
      <w:r w:rsidRPr="0046218E">
        <w:rPr>
          <w:sz w:val="22"/>
          <w:szCs w:val="22"/>
        </w:rPr>
        <w:t>Investment objectives will be achieved using a total return strategy, where long-term return may come from both market value increases (realized and unrealized capital appreciation) and/or from current yield (interest and dividends).</w:t>
      </w:r>
    </w:p>
    <w:p w14:paraId="151A6DA3" w14:textId="77777777" w:rsidR="00BB027B" w:rsidRPr="0046218E" w:rsidRDefault="00BB027B" w:rsidP="00332FCD">
      <w:pPr>
        <w:ind w:left="2160"/>
        <w:rPr>
          <w:sz w:val="22"/>
          <w:szCs w:val="22"/>
        </w:rPr>
      </w:pPr>
    </w:p>
    <w:p w14:paraId="31ECC322" w14:textId="77777777" w:rsidR="00BB027B" w:rsidRPr="0046218E" w:rsidRDefault="00BB027B" w:rsidP="00332FCD">
      <w:pPr>
        <w:numPr>
          <w:ilvl w:val="2"/>
          <w:numId w:val="5"/>
        </w:numPr>
        <w:rPr>
          <w:sz w:val="22"/>
          <w:szCs w:val="22"/>
        </w:rPr>
      </w:pPr>
      <w:r w:rsidRPr="0046218E">
        <w:rPr>
          <w:sz w:val="22"/>
          <w:szCs w:val="22"/>
        </w:rPr>
        <w:t>Relative Return</w:t>
      </w:r>
    </w:p>
    <w:p w14:paraId="6306BCAD" w14:textId="77777777" w:rsidR="00BB027B" w:rsidRPr="0046218E" w:rsidRDefault="00BB027B" w:rsidP="00BB027B">
      <w:pPr>
        <w:ind w:left="2160"/>
        <w:rPr>
          <w:sz w:val="22"/>
          <w:szCs w:val="22"/>
        </w:rPr>
      </w:pPr>
      <w:r w:rsidRPr="0046218E">
        <w:rPr>
          <w:sz w:val="22"/>
          <w:szCs w:val="22"/>
        </w:rPr>
        <w:t xml:space="preserve">Over longer term horizons, covering one or more market cycles (typically lasting three to five years), we expect the investment </w:t>
      </w:r>
      <w:r w:rsidR="00E34B49" w:rsidRPr="0046218E">
        <w:rPr>
          <w:sz w:val="22"/>
          <w:szCs w:val="22"/>
        </w:rPr>
        <w:t>managers,</w:t>
      </w:r>
      <w:r w:rsidRPr="0046218E">
        <w:rPr>
          <w:sz w:val="22"/>
          <w:szCs w:val="22"/>
        </w:rPr>
        <w:t xml:space="preserve"> as a whole and individually, to outperform the internal asset allocation benchmark as outlined in this Statement.  The overall index for judging relative performance shall be the weighted average of each component asset class return, using the target percentages and benchmarks detailed in Exhibit # 1.</w:t>
      </w:r>
    </w:p>
    <w:p w14:paraId="14812413" w14:textId="77777777" w:rsidR="00BB027B" w:rsidRPr="0046218E" w:rsidRDefault="00BB027B" w:rsidP="00BB027B">
      <w:pPr>
        <w:ind w:left="1980"/>
        <w:rPr>
          <w:sz w:val="22"/>
          <w:szCs w:val="22"/>
        </w:rPr>
      </w:pPr>
    </w:p>
    <w:p w14:paraId="39519D9B" w14:textId="77777777" w:rsidR="003A1A43" w:rsidRPr="0046218E" w:rsidRDefault="003A1A43" w:rsidP="00332FCD">
      <w:pPr>
        <w:numPr>
          <w:ilvl w:val="2"/>
          <w:numId w:val="5"/>
        </w:numPr>
        <w:rPr>
          <w:sz w:val="22"/>
          <w:szCs w:val="22"/>
        </w:rPr>
      </w:pPr>
      <w:r w:rsidRPr="0046218E">
        <w:rPr>
          <w:sz w:val="22"/>
          <w:szCs w:val="22"/>
        </w:rPr>
        <w:t>Volatility</w:t>
      </w:r>
    </w:p>
    <w:p w14:paraId="0B181FB3" w14:textId="77777777" w:rsidR="00332FCD" w:rsidRPr="0046218E" w:rsidRDefault="00332FCD" w:rsidP="00332FCD">
      <w:pPr>
        <w:ind w:left="2160"/>
        <w:rPr>
          <w:sz w:val="22"/>
          <w:szCs w:val="22"/>
        </w:rPr>
      </w:pPr>
    </w:p>
    <w:p w14:paraId="3784C815" w14:textId="77777777" w:rsidR="00332FCD" w:rsidRPr="0046218E" w:rsidRDefault="00332FCD" w:rsidP="00332FCD">
      <w:pPr>
        <w:ind w:left="2160"/>
        <w:rPr>
          <w:sz w:val="22"/>
          <w:szCs w:val="22"/>
        </w:rPr>
      </w:pPr>
      <w:r w:rsidRPr="0046218E">
        <w:rPr>
          <w:sz w:val="22"/>
          <w:szCs w:val="22"/>
        </w:rPr>
        <w:t>In light of the Foundation’s long-term horizon and limited liquidity needs over and above withdrawal policies, the fund can assume volatility consistent with a long-term investment return objec</w:t>
      </w:r>
      <w:r w:rsidR="00594A9E" w:rsidRPr="0046218E">
        <w:rPr>
          <w:sz w:val="22"/>
          <w:szCs w:val="22"/>
        </w:rPr>
        <w:t>tive. The asset allocation and I</w:t>
      </w:r>
      <w:r w:rsidRPr="0046218E">
        <w:rPr>
          <w:sz w:val="22"/>
          <w:szCs w:val="22"/>
        </w:rPr>
        <w:t xml:space="preserve">nvestment </w:t>
      </w:r>
      <w:r w:rsidR="00594A9E" w:rsidRPr="0046218E">
        <w:rPr>
          <w:sz w:val="22"/>
          <w:szCs w:val="22"/>
        </w:rPr>
        <w:t>A</w:t>
      </w:r>
      <w:r w:rsidRPr="0046218E">
        <w:rPr>
          <w:sz w:val="22"/>
          <w:szCs w:val="22"/>
        </w:rPr>
        <w:t>gent guidelines are designed to provide a balance that will avoid concentrations in any single asset class, risk level and manager style.</w:t>
      </w:r>
    </w:p>
    <w:p w14:paraId="7BFC8DFD" w14:textId="77777777" w:rsidR="00BB027B" w:rsidRPr="0046218E" w:rsidRDefault="00BB027B" w:rsidP="00332FCD">
      <w:pPr>
        <w:ind w:left="2160"/>
        <w:rPr>
          <w:sz w:val="22"/>
          <w:szCs w:val="22"/>
        </w:rPr>
      </w:pPr>
    </w:p>
    <w:p w14:paraId="22E0243D" w14:textId="77777777" w:rsidR="00332FCD" w:rsidRPr="0046218E" w:rsidRDefault="00332FCD" w:rsidP="00332FCD">
      <w:pPr>
        <w:ind w:left="2160"/>
        <w:rPr>
          <w:sz w:val="22"/>
          <w:szCs w:val="22"/>
        </w:rPr>
      </w:pPr>
    </w:p>
    <w:p w14:paraId="0BDAFF6C" w14:textId="77777777" w:rsidR="003A1A43" w:rsidRPr="0046218E" w:rsidRDefault="003A1A43" w:rsidP="003A1A43">
      <w:pPr>
        <w:numPr>
          <w:ilvl w:val="1"/>
          <w:numId w:val="5"/>
        </w:numPr>
        <w:rPr>
          <w:sz w:val="22"/>
          <w:szCs w:val="22"/>
        </w:rPr>
      </w:pPr>
      <w:r w:rsidRPr="0046218E">
        <w:rPr>
          <w:sz w:val="22"/>
          <w:szCs w:val="22"/>
        </w:rPr>
        <w:t>INVESTMENT CONSIDERATIONS</w:t>
      </w:r>
    </w:p>
    <w:p w14:paraId="6B857BBE" w14:textId="77777777" w:rsidR="00332FCD" w:rsidRPr="0046218E" w:rsidRDefault="00332FCD" w:rsidP="00332FCD">
      <w:pPr>
        <w:ind w:left="1080"/>
        <w:rPr>
          <w:sz w:val="22"/>
          <w:szCs w:val="22"/>
        </w:rPr>
      </w:pPr>
    </w:p>
    <w:p w14:paraId="7AE919FC" w14:textId="77777777" w:rsidR="00332FCD" w:rsidRPr="0046218E" w:rsidRDefault="003A1A43" w:rsidP="00332FCD">
      <w:pPr>
        <w:numPr>
          <w:ilvl w:val="2"/>
          <w:numId w:val="5"/>
        </w:numPr>
        <w:rPr>
          <w:sz w:val="22"/>
          <w:szCs w:val="22"/>
        </w:rPr>
      </w:pPr>
      <w:r w:rsidRPr="0046218E">
        <w:rPr>
          <w:sz w:val="22"/>
          <w:szCs w:val="22"/>
        </w:rPr>
        <w:t>Liquidity</w:t>
      </w:r>
    </w:p>
    <w:p w14:paraId="5B96E363" w14:textId="77777777" w:rsidR="00E0526D" w:rsidRPr="0046218E" w:rsidRDefault="00E0526D" w:rsidP="00332FCD">
      <w:pPr>
        <w:ind w:left="2160"/>
        <w:rPr>
          <w:sz w:val="22"/>
          <w:szCs w:val="22"/>
        </w:rPr>
      </w:pPr>
    </w:p>
    <w:p w14:paraId="469E3D22" w14:textId="77777777" w:rsidR="00332FCD" w:rsidRPr="0046218E" w:rsidRDefault="00E0526D" w:rsidP="00332FCD">
      <w:pPr>
        <w:ind w:left="2160"/>
        <w:rPr>
          <w:sz w:val="22"/>
          <w:szCs w:val="22"/>
        </w:rPr>
      </w:pPr>
      <w:r w:rsidRPr="0046218E">
        <w:rPr>
          <w:sz w:val="22"/>
          <w:szCs w:val="22"/>
        </w:rPr>
        <w:t>Liquidity needs are low. Except for investment purposes and spending requirements, the fund requires no sizable liquid reserves. In addition, investing in marketable securities will enable the fund to raise cash on short notice as necessary. The lack of liquidity needs would permit allocation to assets not readily liquid should the Board deem it appropriate.</w:t>
      </w:r>
    </w:p>
    <w:p w14:paraId="3F9C17F8" w14:textId="77777777" w:rsidR="00BA3D0D" w:rsidRPr="0046218E" w:rsidRDefault="00BA3D0D" w:rsidP="00332FCD">
      <w:pPr>
        <w:ind w:left="2160"/>
        <w:rPr>
          <w:sz w:val="22"/>
          <w:szCs w:val="22"/>
        </w:rPr>
      </w:pPr>
    </w:p>
    <w:p w14:paraId="62505E08" w14:textId="77777777" w:rsidR="00E0526D" w:rsidRPr="0046218E" w:rsidRDefault="00E0526D" w:rsidP="00332FCD">
      <w:pPr>
        <w:ind w:left="2160"/>
        <w:rPr>
          <w:sz w:val="22"/>
          <w:szCs w:val="22"/>
        </w:rPr>
      </w:pPr>
    </w:p>
    <w:p w14:paraId="40344A0C" w14:textId="77777777" w:rsidR="003A1A43" w:rsidRPr="0046218E" w:rsidRDefault="003A1A43" w:rsidP="003A1A43">
      <w:pPr>
        <w:numPr>
          <w:ilvl w:val="2"/>
          <w:numId w:val="5"/>
        </w:numPr>
        <w:rPr>
          <w:sz w:val="22"/>
          <w:szCs w:val="22"/>
        </w:rPr>
      </w:pPr>
      <w:r w:rsidRPr="0046218E">
        <w:rPr>
          <w:sz w:val="22"/>
          <w:szCs w:val="22"/>
        </w:rPr>
        <w:t>Time Horizon</w:t>
      </w:r>
    </w:p>
    <w:p w14:paraId="310992D7" w14:textId="77777777" w:rsidR="00E0526D" w:rsidRPr="0046218E" w:rsidRDefault="00E0526D" w:rsidP="00E0526D">
      <w:pPr>
        <w:ind w:left="2160"/>
        <w:rPr>
          <w:sz w:val="22"/>
          <w:szCs w:val="22"/>
        </w:rPr>
      </w:pPr>
    </w:p>
    <w:p w14:paraId="57530BD5" w14:textId="77777777" w:rsidR="00E0526D" w:rsidRPr="0046218E" w:rsidRDefault="00E0526D" w:rsidP="00E0526D">
      <w:pPr>
        <w:ind w:left="2160"/>
        <w:rPr>
          <w:sz w:val="22"/>
          <w:szCs w:val="22"/>
        </w:rPr>
      </w:pPr>
      <w:r w:rsidRPr="0046218E">
        <w:rPr>
          <w:sz w:val="22"/>
          <w:szCs w:val="22"/>
        </w:rPr>
        <w:lastRenderedPageBreak/>
        <w:t xml:space="preserve">The funds have a long time horizon, which is typical for most foundations. The horizon extends </w:t>
      </w:r>
      <w:r w:rsidRPr="00B0789F">
        <w:rPr>
          <w:sz w:val="22"/>
          <w:szCs w:val="22"/>
        </w:rPr>
        <w:t>well beyond a</w:t>
      </w:r>
      <w:r w:rsidR="00ED65F6" w:rsidRPr="00B0789F">
        <w:rPr>
          <w:sz w:val="22"/>
          <w:szCs w:val="22"/>
        </w:rPr>
        <w:t>ny</w:t>
      </w:r>
      <w:r w:rsidRPr="00B0789F">
        <w:rPr>
          <w:sz w:val="22"/>
          <w:szCs w:val="22"/>
        </w:rPr>
        <w:t xml:space="preserve"> normal </w:t>
      </w:r>
      <w:r w:rsidRPr="0046218E">
        <w:rPr>
          <w:sz w:val="22"/>
          <w:szCs w:val="22"/>
        </w:rPr>
        <w:t>cycle and for the purposes of the investment strategy, can be considered to be in “perpetuity.”</w:t>
      </w:r>
    </w:p>
    <w:p w14:paraId="27F9E065" w14:textId="77777777" w:rsidR="00E0526D" w:rsidRPr="0046218E" w:rsidRDefault="00E0526D" w:rsidP="00E0526D">
      <w:pPr>
        <w:ind w:left="2160"/>
        <w:rPr>
          <w:sz w:val="22"/>
          <w:szCs w:val="22"/>
        </w:rPr>
      </w:pPr>
    </w:p>
    <w:p w14:paraId="38223964" w14:textId="77777777" w:rsidR="003A1A43" w:rsidRPr="0046218E" w:rsidRDefault="003A1A43" w:rsidP="003A1A43">
      <w:pPr>
        <w:numPr>
          <w:ilvl w:val="2"/>
          <w:numId w:val="5"/>
        </w:numPr>
        <w:rPr>
          <w:sz w:val="22"/>
          <w:szCs w:val="22"/>
        </w:rPr>
      </w:pPr>
      <w:r w:rsidRPr="0046218E">
        <w:rPr>
          <w:sz w:val="22"/>
          <w:szCs w:val="22"/>
        </w:rPr>
        <w:t>Laws and Regulation</w:t>
      </w:r>
    </w:p>
    <w:p w14:paraId="14007BBC" w14:textId="77777777" w:rsidR="00E0526D" w:rsidRPr="0046218E" w:rsidRDefault="00E0526D" w:rsidP="00E0526D">
      <w:pPr>
        <w:ind w:left="2160"/>
        <w:rPr>
          <w:sz w:val="22"/>
          <w:szCs w:val="22"/>
        </w:rPr>
      </w:pPr>
    </w:p>
    <w:p w14:paraId="71979CEE" w14:textId="77777777" w:rsidR="00E0526D" w:rsidRPr="0046218E" w:rsidRDefault="00C64E31" w:rsidP="00E0526D">
      <w:pPr>
        <w:ind w:left="2160"/>
        <w:rPr>
          <w:sz w:val="22"/>
          <w:szCs w:val="22"/>
        </w:rPr>
      </w:pPr>
      <w:r w:rsidRPr="0046218E">
        <w:rPr>
          <w:sz w:val="22"/>
          <w:szCs w:val="22"/>
        </w:rPr>
        <w:t xml:space="preserve">This fund, as with most endowments and foundations, is </w:t>
      </w:r>
      <w:r w:rsidR="00E0526D" w:rsidRPr="0046218E">
        <w:rPr>
          <w:sz w:val="22"/>
          <w:szCs w:val="22"/>
        </w:rPr>
        <w:t xml:space="preserve">governed by </w:t>
      </w:r>
      <w:r w:rsidRPr="0046218E">
        <w:rPr>
          <w:sz w:val="22"/>
          <w:szCs w:val="22"/>
        </w:rPr>
        <w:t>federal and state regulations</w:t>
      </w:r>
      <w:r w:rsidR="00E0526D" w:rsidRPr="0046218E">
        <w:rPr>
          <w:sz w:val="22"/>
          <w:szCs w:val="22"/>
        </w:rPr>
        <w:t xml:space="preserve"> </w:t>
      </w:r>
      <w:r w:rsidRPr="0046218E">
        <w:rPr>
          <w:sz w:val="22"/>
          <w:szCs w:val="22"/>
        </w:rPr>
        <w:t xml:space="preserve">as well as the Prudent </w:t>
      </w:r>
      <w:r w:rsidR="00ED65F6" w:rsidRPr="00B0789F">
        <w:rPr>
          <w:sz w:val="22"/>
          <w:szCs w:val="22"/>
        </w:rPr>
        <w:t>Investor</w:t>
      </w:r>
      <w:r w:rsidR="00ED65F6">
        <w:rPr>
          <w:sz w:val="22"/>
          <w:szCs w:val="22"/>
        </w:rPr>
        <w:t xml:space="preserve"> </w:t>
      </w:r>
      <w:r w:rsidRPr="0046218E">
        <w:rPr>
          <w:sz w:val="22"/>
          <w:szCs w:val="22"/>
        </w:rPr>
        <w:t>Rule. This</w:t>
      </w:r>
      <w:r w:rsidR="00E0526D" w:rsidRPr="0046218E">
        <w:rPr>
          <w:sz w:val="22"/>
          <w:szCs w:val="22"/>
        </w:rPr>
        <w:t xml:space="preserve"> Rule places greater emphasis on investment decisions in the context of the whole portfolio</w:t>
      </w:r>
      <w:r w:rsidRPr="0046218E">
        <w:rPr>
          <w:sz w:val="22"/>
          <w:szCs w:val="22"/>
        </w:rPr>
        <w:t>,</w:t>
      </w:r>
      <w:r w:rsidR="00E0526D" w:rsidRPr="0046218E">
        <w:rPr>
          <w:sz w:val="22"/>
          <w:szCs w:val="22"/>
        </w:rPr>
        <w:t xml:space="preserve"> </w:t>
      </w:r>
      <w:r w:rsidRPr="0046218E">
        <w:rPr>
          <w:sz w:val="22"/>
          <w:szCs w:val="22"/>
        </w:rPr>
        <w:t xml:space="preserve">rather than specific investments or courses </w:t>
      </w:r>
      <w:r w:rsidR="00E0526D" w:rsidRPr="0046218E">
        <w:rPr>
          <w:sz w:val="22"/>
          <w:szCs w:val="22"/>
        </w:rPr>
        <w:t>of action, taken alone</w:t>
      </w:r>
      <w:r w:rsidRPr="0046218E">
        <w:rPr>
          <w:sz w:val="22"/>
          <w:szCs w:val="22"/>
        </w:rPr>
        <w:t>.</w:t>
      </w:r>
      <w:r w:rsidR="00A11E40" w:rsidRPr="0046218E">
        <w:rPr>
          <w:sz w:val="22"/>
          <w:szCs w:val="22"/>
        </w:rPr>
        <w:t xml:space="preserve">  Additionally, the Pension Protection Act governs excess business holdings with regards to assets held in donor advised funds.  Please see Addendum for complete guidelines.</w:t>
      </w:r>
    </w:p>
    <w:p w14:paraId="606C5B28" w14:textId="77777777" w:rsidR="00A11E40" w:rsidRPr="0046218E" w:rsidRDefault="00A11E40" w:rsidP="00E0526D">
      <w:pPr>
        <w:ind w:left="2160"/>
        <w:rPr>
          <w:sz w:val="22"/>
          <w:szCs w:val="22"/>
        </w:rPr>
      </w:pPr>
    </w:p>
    <w:p w14:paraId="37F201BF" w14:textId="77777777" w:rsidR="003A1A43" w:rsidRPr="0046218E" w:rsidRDefault="003A1A43" w:rsidP="003A1A43">
      <w:pPr>
        <w:numPr>
          <w:ilvl w:val="2"/>
          <w:numId w:val="5"/>
        </w:numPr>
        <w:rPr>
          <w:sz w:val="22"/>
          <w:szCs w:val="22"/>
        </w:rPr>
      </w:pPr>
      <w:r w:rsidRPr="0046218E">
        <w:rPr>
          <w:sz w:val="22"/>
          <w:szCs w:val="22"/>
        </w:rPr>
        <w:t>Tax Consideration</w:t>
      </w:r>
    </w:p>
    <w:p w14:paraId="5A39CBA9" w14:textId="77777777" w:rsidR="0040022E" w:rsidRPr="0046218E" w:rsidRDefault="0040022E" w:rsidP="0040022E">
      <w:pPr>
        <w:ind w:left="2160"/>
        <w:rPr>
          <w:sz w:val="22"/>
          <w:szCs w:val="22"/>
        </w:rPr>
      </w:pPr>
    </w:p>
    <w:p w14:paraId="7646F2F9" w14:textId="77777777" w:rsidR="0040022E" w:rsidRPr="0046218E" w:rsidRDefault="0040022E" w:rsidP="0040022E">
      <w:pPr>
        <w:ind w:left="2160"/>
        <w:rPr>
          <w:sz w:val="22"/>
          <w:szCs w:val="22"/>
        </w:rPr>
      </w:pPr>
      <w:r w:rsidRPr="0046218E">
        <w:rPr>
          <w:sz w:val="22"/>
          <w:szCs w:val="22"/>
        </w:rPr>
        <w:t xml:space="preserve">The Foundation is exempt from federal income tax under Section 501 (c) (3) of the Internal Revenue Code. Consequently, tax considerations are not a meaningful constraint, other than the fact that securities with tax-exempt features </w:t>
      </w:r>
      <w:r w:rsidR="00C64E31" w:rsidRPr="0046218E">
        <w:rPr>
          <w:sz w:val="22"/>
          <w:szCs w:val="22"/>
        </w:rPr>
        <w:t xml:space="preserve">and that may generate unrelated business income for the Foundation </w:t>
      </w:r>
      <w:r w:rsidRPr="0046218E">
        <w:rPr>
          <w:sz w:val="22"/>
          <w:szCs w:val="22"/>
        </w:rPr>
        <w:t>should be avoided.</w:t>
      </w:r>
    </w:p>
    <w:p w14:paraId="1AE43FD5" w14:textId="77777777" w:rsidR="0040022E" w:rsidRPr="0046218E" w:rsidRDefault="0040022E" w:rsidP="0040022E">
      <w:pPr>
        <w:ind w:left="2160"/>
        <w:rPr>
          <w:sz w:val="22"/>
          <w:szCs w:val="22"/>
        </w:rPr>
      </w:pPr>
    </w:p>
    <w:p w14:paraId="41718E25" w14:textId="77777777" w:rsidR="003A1A43" w:rsidRPr="0046218E" w:rsidRDefault="003A1A43" w:rsidP="003A1A43">
      <w:pPr>
        <w:numPr>
          <w:ilvl w:val="2"/>
          <w:numId w:val="5"/>
        </w:numPr>
        <w:rPr>
          <w:sz w:val="22"/>
          <w:szCs w:val="22"/>
        </w:rPr>
      </w:pPr>
      <w:r w:rsidRPr="0046218E">
        <w:rPr>
          <w:sz w:val="22"/>
          <w:szCs w:val="22"/>
        </w:rPr>
        <w:t>Other</w:t>
      </w:r>
    </w:p>
    <w:p w14:paraId="3C66EB06" w14:textId="77777777" w:rsidR="0040022E" w:rsidRPr="0046218E" w:rsidRDefault="0040022E" w:rsidP="0040022E">
      <w:pPr>
        <w:ind w:left="2160"/>
        <w:rPr>
          <w:sz w:val="22"/>
          <w:szCs w:val="22"/>
        </w:rPr>
      </w:pPr>
    </w:p>
    <w:p w14:paraId="535306E4" w14:textId="77777777" w:rsidR="0040022E" w:rsidRPr="00B0789F" w:rsidRDefault="0040022E" w:rsidP="0040022E">
      <w:pPr>
        <w:ind w:left="2160"/>
        <w:rPr>
          <w:sz w:val="22"/>
          <w:szCs w:val="22"/>
        </w:rPr>
      </w:pPr>
      <w:r w:rsidRPr="0046218E">
        <w:rPr>
          <w:sz w:val="22"/>
          <w:szCs w:val="22"/>
        </w:rPr>
        <w:t>Guided by the Prudent Investor Rule, the Investment Committee a</w:t>
      </w:r>
      <w:r w:rsidR="00594A9E" w:rsidRPr="0046218E">
        <w:rPr>
          <w:sz w:val="22"/>
          <w:szCs w:val="22"/>
        </w:rPr>
        <w:t>nd the Foundation’s Investment A</w:t>
      </w:r>
      <w:r w:rsidRPr="0046218E">
        <w:rPr>
          <w:sz w:val="22"/>
          <w:szCs w:val="22"/>
        </w:rPr>
        <w:t xml:space="preserve">gents shall </w:t>
      </w:r>
      <w:r w:rsidR="000370CA" w:rsidRPr="00B0789F">
        <w:rPr>
          <w:sz w:val="22"/>
          <w:szCs w:val="22"/>
        </w:rPr>
        <w:t xml:space="preserve">implement reasonable care, skill and caution when choosing an investment strategy.  The committee shall consider the needs of the beneficiaries, preserve assets, minimize risk, generate realistic amount of income and invest for the long term.  The Prudent Investor Rule also mandates the application of the principal of diversification when constructing portfolios. </w:t>
      </w:r>
    </w:p>
    <w:p w14:paraId="333C3E22" w14:textId="77777777" w:rsidR="001C2528" w:rsidRPr="0046218E" w:rsidRDefault="001C2528" w:rsidP="0040022E">
      <w:pPr>
        <w:ind w:left="2160"/>
        <w:rPr>
          <w:sz w:val="22"/>
          <w:szCs w:val="22"/>
        </w:rPr>
      </w:pPr>
    </w:p>
    <w:p w14:paraId="29286802" w14:textId="77777777" w:rsidR="0040022E" w:rsidRPr="0046218E" w:rsidRDefault="0040022E" w:rsidP="0040022E">
      <w:pPr>
        <w:ind w:left="2160"/>
        <w:rPr>
          <w:sz w:val="22"/>
          <w:szCs w:val="22"/>
        </w:rPr>
      </w:pPr>
    </w:p>
    <w:p w14:paraId="0E2ADD69" w14:textId="77777777" w:rsidR="003A1A43" w:rsidRPr="0046218E" w:rsidRDefault="00E156D6" w:rsidP="003A1A43">
      <w:pPr>
        <w:numPr>
          <w:ilvl w:val="0"/>
          <w:numId w:val="5"/>
        </w:numPr>
        <w:rPr>
          <w:b/>
          <w:sz w:val="22"/>
          <w:szCs w:val="22"/>
        </w:rPr>
      </w:pPr>
      <w:r w:rsidRPr="0046218E">
        <w:rPr>
          <w:b/>
          <w:sz w:val="22"/>
          <w:szCs w:val="22"/>
        </w:rPr>
        <w:t xml:space="preserve">SPENDING </w:t>
      </w:r>
      <w:r w:rsidR="003A1A43" w:rsidRPr="0046218E">
        <w:rPr>
          <w:b/>
          <w:sz w:val="22"/>
          <w:szCs w:val="22"/>
        </w:rPr>
        <w:t>POLICY</w:t>
      </w:r>
    </w:p>
    <w:p w14:paraId="1D7CBFF7" w14:textId="77777777" w:rsidR="0040022E" w:rsidRPr="0046218E" w:rsidRDefault="0040022E" w:rsidP="0040022E">
      <w:pPr>
        <w:ind w:left="360"/>
        <w:rPr>
          <w:sz w:val="22"/>
          <w:szCs w:val="22"/>
        </w:rPr>
      </w:pPr>
    </w:p>
    <w:p w14:paraId="55DD30C2" w14:textId="77777777" w:rsidR="003A1A43" w:rsidRPr="0046218E" w:rsidRDefault="003A1A43" w:rsidP="003A1A43">
      <w:pPr>
        <w:numPr>
          <w:ilvl w:val="1"/>
          <w:numId w:val="5"/>
        </w:numPr>
        <w:rPr>
          <w:sz w:val="22"/>
          <w:szCs w:val="22"/>
        </w:rPr>
      </w:pPr>
      <w:r w:rsidRPr="0046218E">
        <w:rPr>
          <w:sz w:val="22"/>
          <w:szCs w:val="22"/>
        </w:rPr>
        <w:t>FOR GRANT-MAKING</w:t>
      </w:r>
    </w:p>
    <w:p w14:paraId="21A46E00" w14:textId="77777777" w:rsidR="0040022E" w:rsidRPr="0046218E" w:rsidRDefault="0040022E" w:rsidP="0040022E">
      <w:pPr>
        <w:ind w:left="1080"/>
        <w:rPr>
          <w:sz w:val="22"/>
          <w:szCs w:val="22"/>
        </w:rPr>
      </w:pPr>
    </w:p>
    <w:p w14:paraId="3C1CC294" w14:textId="77777777" w:rsidR="00056671" w:rsidRPr="0046218E" w:rsidRDefault="00E156D6" w:rsidP="003A1A43">
      <w:pPr>
        <w:numPr>
          <w:ilvl w:val="2"/>
          <w:numId w:val="5"/>
        </w:numPr>
        <w:rPr>
          <w:sz w:val="22"/>
          <w:szCs w:val="22"/>
        </w:rPr>
      </w:pPr>
      <w:r w:rsidRPr="0046218E">
        <w:rPr>
          <w:sz w:val="22"/>
          <w:szCs w:val="22"/>
        </w:rPr>
        <w:t>The Committee</w:t>
      </w:r>
      <w:r w:rsidR="00056671" w:rsidRPr="0046218E">
        <w:rPr>
          <w:sz w:val="22"/>
          <w:szCs w:val="22"/>
        </w:rPr>
        <w:t>’s</w:t>
      </w:r>
      <w:r w:rsidRPr="0046218E">
        <w:rPr>
          <w:sz w:val="22"/>
          <w:szCs w:val="22"/>
        </w:rPr>
        <w:t xml:space="preserve"> recommendation to the Board with respect to </w:t>
      </w:r>
      <w:r w:rsidR="00056671" w:rsidRPr="0046218E">
        <w:rPr>
          <w:sz w:val="22"/>
          <w:szCs w:val="22"/>
        </w:rPr>
        <w:t>the spending rate for</w:t>
      </w:r>
      <w:r w:rsidRPr="0046218E">
        <w:rPr>
          <w:sz w:val="22"/>
          <w:szCs w:val="22"/>
        </w:rPr>
        <w:t xml:space="preserve"> grant making</w:t>
      </w:r>
      <w:r w:rsidR="00056671" w:rsidRPr="0046218E">
        <w:rPr>
          <w:sz w:val="22"/>
          <w:szCs w:val="22"/>
        </w:rPr>
        <w:t xml:space="preserve"> will be formula based.</w:t>
      </w:r>
      <w:r w:rsidRPr="0046218E">
        <w:rPr>
          <w:sz w:val="22"/>
          <w:szCs w:val="22"/>
        </w:rPr>
        <w:t xml:space="preserve"> </w:t>
      </w:r>
      <w:r w:rsidR="00056671" w:rsidRPr="0046218E">
        <w:rPr>
          <w:sz w:val="22"/>
          <w:szCs w:val="22"/>
        </w:rPr>
        <w:t xml:space="preserve"> It will be presented to the Board annually following </w:t>
      </w:r>
      <w:r w:rsidR="00794030" w:rsidRPr="0046218E">
        <w:rPr>
          <w:sz w:val="22"/>
          <w:szCs w:val="22"/>
        </w:rPr>
        <w:t xml:space="preserve">the </w:t>
      </w:r>
      <w:r w:rsidR="00056671" w:rsidRPr="0046218E">
        <w:rPr>
          <w:sz w:val="22"/>
          <w:szCs w:val="22"/>
        </w:rPr>
        <w:t xml:space="preserve">end of the </w:t>
      </w:r>
      <w:r w:rsidR="00794030" w:rsidRPr="0046218E">
        <w:rPr>
          <w:sz w:val="22"/>
          <w:szCs w:val="22"/>
        </w:rPr>
        <w:t>third quarter</w:t>
      </w:r>
      <w:r w:rsidR="00056671" w:rsidRPr="0046218E">
        <w:rPr>
          <w:sz w:val="22"/>
          <w:szCs w:val="22"/>
        </w:rPr>
        <w:t>.</w:t>
      </w:r>
      <w:r w:rsidR="00794030" w:rsidRPr="0046218E">
        <w:rPr>
          <w:sz w:val="22"/>
          <w:szCs w:val="22"/>
        </w:rPr>
        <w:t xml:space="preserve"> </w:t>
      </w:r>
    </w:p>
    <w:p w14:paraId="366173AB" w14:textId="77777777" w:rsidR="00056671" w:rsidRPr="0046218E" w:rsidRDefault="00056671" w:rsidP="00056671">
      <w:pPr>
        <w:ind w:left="1980"/>
        <w:rPr>
          <w:sz w:val="22"/>
          <w:szCs w:val="22"/>
        </w:rPr>
      </w:pPr>
    </w:p>
    <w:p w14:paraId="539F4109" w14:textId="77777777" w:rsidR="00E156D6" w:rsidRPr="0046218E" w:rsidRDefault="00056671" w:rsidP="003A1A43">
      <w:pPr>
        <w:numPr>
          <w:ilvl w:val="2"/>
          <w:numId w:val="5"/>
        </w:numPr>
        <w:rPr>
          <w:sz w:val="22"/>
          <w:szCs w:val="22"/>
        </w:rPr>
      </w:pPr>
      <w:r w:rsidRPr="0046218E">
        <w:rPr>
          <w:sz w:val="22"/>
          <w:szCs w:val="22"/>
        </w:rPr>
        <w:t>For the purpose of this formula, the asset base will be equal to a five-year moving average of quarterly market values, ending the third quarter of each year.  The Committee</w:t>
      </w:r>
      <w:r w:rsidR="00E156D6" w:rsidRPr="0046218E">
        <w:rPr>
          <w:sz w:val="22"/>
          <w:szCs w:val="22"/>
        </w:rPr>
        <w:t xml:space="preserve"> shall be guided by</w:t>
      </w:r>
      <w:r w:rsidR="00794030" w:rsidRPr="0046218E">
        <w:rPr>
          <w:sz w:val="22"/>
          <w:szCs w:val="22"/>
        </w:rPr>
        <w:t>, in part,</w:t>
      </w:r>
      <w:r w:rsidR="00E156D6" w:rsidRPr="0046218E">
        <w:rPr>
          <w:sz w:val="22"/>
          <w:szCs w:val="22"/>
        </w:rPr>
        <w:t xml:space="preserve"> the Foundation</w:t>
      </w:r>
      <w:r w:rsidR="00794030" w:rsidRPr="0046218E">
        <w:rPr>
          <w:sz w:val="22"/>
          <w:szCs w:val="22"/>
        </w:rPr>
        <w:t>’s</w:t>
      </w:r>
      <w:r w:rsidR="00E156D6" w:rsidRPr="0046218E">
        <w:rPr>
          <w:sz w:val="22"/>
          <w:szCs w:val="22"/>
        </w:rPr>
        <w:t xml:space="preserve"> Spending Policy which has, as an aspir</w:t>
      </w:r>
      <w:r w:rsidR="003A4485" w:rsidRPr="0046218E">
        <w:rPr>
          <w:sz w:val="22"/>
          <w:szCs w:val="22"/>
        </w:rPr>
        <w:t>ational</w:t>
      </w:r>
      <w:r w:rsidR="00E156D6" w:rsidRPr="0046218E">
        <w:rPr>
          <w:sz w:val="22"/>
          <w:szCs w:val="22"/>
        </w:rPr>
        <w:t xml:space="preserve"> goal, an annual di</w:t>
      </w:r>
      <w:r w:rsidRPr="0046218E">
        <w:rPr>
          <w:sz w:val="22"/>
          <w:szCs w:val="22"/>
        </w:rPr>
        <w:t>stribution of five percent (5%) of the calculated moving average.</w:t>
      </w:r>
    </w:p>
    <w:p w14:paraId="1F8ECEE9" w14:textId="77777777" w:rsidR="00E156D6" w:rsidRPr="0046218E" w:rsidRDefault="00E156D6" w:rsidP="00E156D6">
      <w:pPr>
        <w:ind w:left="1980"/>
        <w:rPr>
          <w:sz w:val="22"/>
          <w:szCs w:val="22"/>
        </w:rPr>
      </w:pPr>
    </w:p>
    <w:p w14:paraId="44A495EA" w14:textId="77777777" w:rsidR="003A1A43" w:rsidRPr="0046218E" w:rsidRDefault="003A1A43" w:rsidP="003A1A43">
      <w:pPr>
        <w:numPr>
          <w:ilvl w:val="2"/>
          <w:numId w:val="5"/>
        </w:numPr>
        <w:rPr>
          <w:sz w:val="22"/>
          <w:szCs w:val="22"/>
        </w:rPr>
      </w:pPr>
      <w:r w:rsidRPr="0046218E">
        <w:rPr>
          <w:sz w:val="22"/>
          <w:szCs w:val="22"/>
        </w:rPr>
        <w:t>The entire allocation will be available on the first business day of the following calendar year.</w:t>
      </w:r>
    </w:p>
    <w:p w14:paraId="7918009B" w14:textId="77777777" w:rsidR="0040022E" w:rsidRPr="0046218E" w:rsidRDefault="0040022E" w:rsidP="0040022E">
      <w:pPr>
        <w:rPr>
          <w:sz w:val="22"/>
          <w:szCs w:val="22"/>
        </w:rPr>
      </w:pPr>
    </w:p>
    <w:p w14:paraId="28DC28E8" w14:textId="77777777" w:rsidR="003A1A43" w:rsidRPr="0046218E" w:rsidRDefault="003A1A43" w:rsidP="003A1A43">
      <w:pPr>
        <w:numPr>
          <w:ilvl w:val="1"/>
          <w:numId w:val="5"/>
        </w:numPr>
        <w:rPr>
          <w:sz w:val="22"/>
          <w:szCs w:val="22"/>
        </w:rPr>
      </w:pPr>
      <w:r w:rsidRPr="0046218E">
        <w:rPr>
          <w:sz w:val="22"/>
          <w:szCs w:val="22"/>
        </w:rPr>
        <w:t>FOR OPERATIONS</w:t>
      </w:r>
    </w:p>
    <w:p w14:paraId="211A03A8" w14:textId="77777777" w:rsidR="00E156D6" w:rsidRPr="0046218E" w:rsidRDefault="00E156D6" w:rsidP="00E156D6">
      <w:pPr>
        <w:ind w:left="1440"/>
        <w:rPr>
          <w:sz w:val="22"/>
          <w:szCs w:val="22"/>
        </w:rPr>
      </w:pPr>
    </w:p>
    <w:p w14:paraId="7E0B006C" w14:textId="77777777" w:rsidR="00E156D6" w:rsidRPr="00B0789F" w:rsidRDefault="00E156D6" w:rsidP="00794030">
      <w:pPr>
        <w:ind w:left="1440"/>
        <w:rPr>
          <w:sz w:val="22"/>
          <w:szCs w:val="22"/>
        </w:rPr>
      </w:pPr>
      <w:r w:rsidRPr="0046218E">
        <w:rPr>
          <w:sz w:val="22"/>
          <w:szCs w:val="22"/>
        </w:rPr>
        <w:t>The Board may use a percentage of the Foundation’s invested asset base for operations. The Committee endorses the Foundation’s Spending Policy</w:t>
      </w:r>
      <w:r w:rsidR="00794030" w:rsidRPr="0046218E">
        <w:rPr>
          <w:sz w:val="22"/>
          <w:szCs w:val="22"/>
        </w:rPr>
        <w:t xml:space="preserve"> which has </w:t>
      </w:r>
      <w:proofErr w:type="gramStart"/>
      <w:r w:rsidRPr="0046218E">
        <w:rPr>
          <w:sz w:val="22"/>
          <w:szCs w:val="22"/>
        </w:rPr>
        <w:t>an</w:t>
      </w:r>
      <w:proofErr w:type="gramEnd"/>
      <w:r w:rsidRPr="0046218E">
        <w:rPr>
          <w:sz w:val="22"/>
          <w:szCs w:val="22"/>
        </w:rPr>
        <w:t xml:space="preserve"> </w:t>
      </w:r>
      <w:r w:rsidR="00491C86" w:rsidRPr="0046218E">
        <w:rPr>
          <w:sz w:val="22"/>
          <w:szCs w:val="22"/>
        </w:rPr>
        <w:t xml:space="preserve">goal </w:t>
      </w:r>
      <w:r w:rsidR="00C50103" w:rsidRPr="00227855">
        <w:rPr>
          <w:sz w:val="22"/>
          <w:szCs w:val="22"/>
        </w:rPr>
        <w:t xml:space="preserve">of </w:t>
      </w:r>
      <w:r w:rsidR="00491C86" w:rsidRPr="00227855">
        <w:rPr>
          <w:sz w:val="22"/>
          <w:szCs w:val="22"/>
        </w:rPr>
        <w:t xml:space="preserve">one and </w:t>
      </w:r>
      <w:r w:rsidR="00794030" w:rsidRPr="00227855">
        <w:rPr>
          <w:sz w:val="22"/>
          <w:szCs w:val="22"/>
        </w:rPr>
        <w:t>one</w:t>
      </w:r>
      <w:r w:rsidR="00491C86" w:rsidRPr="00227855">
        <w:rPr>
          <w:sz w:val="22"/>
          <w:szCs w:val="22"/>
        </w:rPr>
        <w:t xml:space="preserve">-half </w:t>
      </w:r>
      <w:r w:rsidR="00794030" w:rsidRPr="00227855">
        <w:rPr>
          <w:sz w:val="22"/>
          <w:szCs w:val="22"/>
        </w:rPr>
        <w:t>percent</w:t>
      </w:r>
      <w:r w:rsidRPr="00227855">
        <w:rPr>
          <w:sz w:val="22"/>
          <w:szCs w:val="22"/>
        </w:rPr>
        <w:t xml:space="preserve"> </w:t>
      </w:r>
      <w:r w:rsidR="00794030" w:rsidRPr="00227855">
        <w:rPr>
          <w:sz w:val="22"/>
          <w:szCs w:val="22"/>
        </w:rPr>
        <w:t>(</w:t>
      </w:r>
      <w:r w:rsidR="00491C86" w:rsidRPr="00227855">
        <w:rPr>
          <w:sz w:val="22"/>
          <w:szCs w:val="22"/>
        </w:rPr>
        <w:t>1.5</w:t>
      </w:r>
      <w:r w:rsidRPr="00227855">
        <w:rPr>
          <w:sz w:val="22"/>
          <w:szCs w:val="22"/>
        </w:rPr>
        <w:t>%</w:t>
      </w:r>
      <w:r w:rsidR="00794030" w:rsidRPr="00227855">
        <w:rPr>
          <w:sz w:val="22"/>
          <w:szCs w:val="22"/>
        </w:rPr>
        <w:t>)</w:t>
      </w:r>
      <w:r w:rsidRPr="00227855">
        <w:rPr>
          <w:sz w:val="22"/>
          <w:szCs w:val="22"/>
        </w:rPr>
        <w:t xml:space="preserve"> </w:t>
      </w:r>
      <w:r w:rsidR="00C50103" w:rsidRPr="00227855">
        <w:rPr>
          <w:sz w:val="22"/>
          <w:szCs w:val="22"/>
        </w:rPr>
        <w:t>or less</w:t>
      </w:r>
      <w:r w:rsidR="00C50103">
        <w:rPr>
          <w:sz w:val="22"/>
          <w:szCs w:val="22"/>
        </w:rPr>
        <w:t xml:space="preserve"> </w:t>
      </w:r>
      <w:r w:rsidRPr="0046218E">
        <w:rPr>
          <w:sz w:val="22"/>
          <w:szCs w:val="22"/>
        </w:rPr>
        <w:t>for operational spending</w:t>
      </w:r>
      <w:r w:rsidRPr="00B0789F">
        <w:rPr>
          <w:sz w:val="22"/>
          <w:szCs w:val="22"/>
        </w:rPr>
        <w:t>.</w:t>
      </w:r>
      <w:r w:rsidR="000370CA" w:rsidRPr="00B0789F">
        <w:rPr>
          <w:sz w:val="22"/>
          <w:szCs w:val="22"/>
        </w:rPr>
        <w:t xml:space="preserve"> </w:t>
      </w:r>
      <w:r w:rsidR="007C184A" w:rsidRPr="00B0789F">
        <w:t xml:space="preserve">The board may determine the need to make an exception to this goal in extenuating circumstances.   </w:t>
      </w:r>
      <w:r w:rsidR="000370CA" w:rsidRPr="00B0789F">
        <w:t>This calculation is based on the current year average market value of the funds, in relation to actual current year expenses</w:t>
      </w:r>
      <w:r w:rsidR="00920901" w:rsidRPr="00B0789F">
        <w:t>.</w:t>
      </w:r>
    </w:p>
    <w:p w14:paraId="071C1883" w14:textId="77777777" w:rsidR="00140CF9" w:rsidRDefault="00140CF9" w:rsidP="00794030">
      <w:pPr>
        <w:ind w:left="1440"/>
        <w:rPr>
          <w:color w:val="FF0000"/>
          <w:sz w:val="22"/>
          <w:szCs w:val="22"/>
        </w:rPr>
      </w:pPr>
    </w:p>
    <w:p w14:paraId="5BE51502" w14:textId="77777777" w:rsidR="007C184A" w:rsidRDefault="007C184A" w:rsidP="00794030">
      <w:pPr>
        <w:ind w:left="1440"/>
        <w:rPr>
          <w:color w:val="FF0000"/>
          <w:sz w:val="22"/>
          <w:szCs w:val="22"/>
        </w:rPr>
      </w:pPr>
    </w:p>
    <w:p w14:paraId="7E63C923" w14:textId="77777777" w:rsidR="007C184A" w:rsidRDefault="007C184A" w:rsidP="00794030">
      <w:pPr>
        <w:ind w:left="1440"/>
        <w:rPr>
          <w:color w:val="FF0000"/>
          <w:sz w:val="22"/>
          <w:szCs w:val="22"/>
        </w:rPr>
      </w:pPr>
    </w:p>
    <w:p w14:paraId="552834A1" w14:textId="77777777" w:rsidR="007C184A" w:rsidRDefault="007C184A" w:rsidP="00794030">
      <w:pPr>
        <w:ind w:left="1440"/>
        <w:rPr>
          <w:color w:val="FF0000"/>
          <w:sz w:val="22"/>
          <w:szCs w:val="22"/>
        </w:rPr>
      </w:pPr>
    </w:p>
    <w:p w14:paraId="0277FA81" w14:textId="77777777" w:rsidR="007C184A" w:rsidRPr="007C184A" w:rsidRDefault="007C184A" w:rsidP="00794030">
      <w:pPr>
        <w:ind w:left="1440"/>
        <w:rPr>
          <w:color w:val="FF0000"/>
          <w:sz w:val="22"/>
          <w:szCs w:val="22"/>
        </w:rPr>
      </w:pPr>
    </w:p>
    <w:p w14:paraId="4FD1DD8F" w14:textId="77777777" w:rsidR="0040022E" w:rsidRPr="0046218E" w:rsidRDefault="0040022E" w:rsidP="0040022E">
      <w:pPr>
        <w:ind w:left="1440"/>
        <w:rPr>
          <w:sz w:val="22"/>
          <w:szCs w:val="22"/>
        </w:rPr>
      </w:pPr>
    </w:p>
    <w:p w14:paraId="412DA7B8" w14:textId="77777777" w:rsidR="003A1A43" w:rsidRPr="0046218E" w:rsidRDefault="003A1A43" w:rsidP="003A1A43">
      <w:pPr>
        <w:numPr>
          <w:ilvl w:val="0"/>
          <w:numId w:val="5"/>
        </w:numPr>
        <w:rPr>
          <w:b/>
          <w:sz w:val="22"/>
          <w:szCs w:val="22"/>
        </w:rPr>
      </w:pPr>
      <w:r w:rsidRPr="0046218E">
        <w:rPr>
          <w:b/>
          <w:sz w:val="22"/>
          <w:szCs w:val="22"/>
        </w:rPr>
        <w:t>ASSET ALLOCATION AND REBALANCING GUIDELINES</w:t>
      </w:r>
    </w:p>
    <w:p w14:paraId="0F88167D" w14:textId="77777777" w:rsidR="0040022E" w:rsidRPr="0046218E" w:rsidRDefault="0040022E" w:rsidP="0040022E">
      <w:pPr>
        <w:ind w:left="720"/>
        <w:rPr>
          <w:sz w:val="22"/>
          <w:szCs w:val="22"/>
        </w:rPr>
      </w:pPr>
    </w:p>
    <w:p w14:paraId="72D36850" w14:textId="77777777" w:rsidR="0040022E" w:rsidRPr="0046218E" w:rsidRDefault="0040022E" w:rsidP="007B4646">
      <w:pPr>
        <w:ind w:left="360"/>
        <w:rPr>
          <w:sz w:val="22"/>
          <w:szCs w:val="22"/>
        </w:rPr>
      </w:pPr>
      <w:r w:rsidRPr="0046218E">
        <w:rPr>
          <w:sz w:val="22"/>
          <w:szCs w:val="22"/>
        </w:rPr>
        <w:t>Asset allocation is widely recognized as</w:t>
      </w:r>
      <w:r w:rsidR="009C390E" w:rsidRPr="0046218E">
        <w:rPr>
          <w:sz w:val="22"/>
          <w:szCs w:val="22"/>
        </w:rPr>
        <w:t xml:space="preserve"> </w:t>
      </w:r>
      <w:r w:rsidR="00404BB5" w:rsidRPr="0046218E">
        <w:rPr>
          <w:sz w:val="22"/>
          <w:szCs w:val="22"/>
        </w:rPr>
        <w:t>a primary</w:t>
      </w:r>
      <w:r w:rsidR="00BA3D0D" w:rsidRPr="0046218E">
        <w:rPr>
          <w:sz w:val="22"/>
          <w:szCs w:val="22"/>
        </w:rPr>
        <w:t xml:space="preserve"> </w:t>
      </w:r>
      <w:r w:rsidR="00C4655A" w:rsidRPr="0046218E">
        <w:rPr>
          <w:sz w:val="22"/>
          <w:szCs w:val="22"/>
        </w:rPr>
        <w:t>determinant of long-term returns. The asset allocation guidelines and targets are designed to strike a balance among several competing objectives: Maximizing long-term investment returns, hedging against disasters (inflation and deflation) and moderating year-to-year volatility.</w:t>
      </w:r>
    </w:p>
    <w:p w14:paraId="3355BA07" w14:textId="77777777" w:rsidR="00C4655A" w:rsidRPr="0046218E" w:rsidRDefault="00C4655A" w:rsidP="0040022E">
      <w:pPr>
        <w:ind w:left="720"/>
        <w:rPr>
          <w:sz w:val="22"/>
          <w:szCs w:val="22"/>
        </w:rPr>
      </w:pPr>
    </w:p>
    <w:p w14:paraId="7ACE66D8" w14:textId="77777777" w:rsidR="00C4655A" w:rsidRPr="0046218E" w:rsidRDefault="00C4655A" w:rsidP="00BA3D0D">
      <w:pPr>
        <w:ind w:left="360"/>
        <w:rPr>
          <w:sz w:val="22"/>
          <w:szCs w:val="22"/>
        </w:rPr>
      </w:pPr>
      <w:r w:rsidRPr="0046218E">
        <w:rPr>
          <w:sz w:val="22"/>
          <w:szCs w:val="22"/>
        </w:rPr>
        <w:t>The Investment Committee will recommend to the Board specific percentage asset allocation targets. The major asset categories will be: Global Equities, Fixed Income, and Discretionary.</w:t>
      </w:r>
    </w:p>
    <w:p w14:paraId="5B4C7789" w14:textId="77777777" w:rsidR="00C4655A" w:rsidRPr="0046218E" w:rsidRDefault="00C4655A" w:rsidP="007B4646">
      <w:pPr>
        <w:ind w:left="360"/>
        <w:rPr>
          <w:sz w:val="22"/>
          <w:szCs w:val="22"/>
        </w:rPr>
      </w:pPr>
      <w:r w:rsidRPr="0046218E">
        <w:rPr>
          <w:sz w:val="22"/>
          <w:szCs w:val="22"/>
        </w:rPr>
        <w:t>The Committee will review and reaffirm or recommend change to the targets at its regular quarterly meetings. A change in the asset allocation guidelines can be proposed at any time to the Board by the Committee. The current Board policy for asset allocation is attached in Exhibit #1.</w:t>
      </w:r>
    </w:p>
    <w:p w14:paraId="1F92A168" w14:textId="77777777" w:rsidR="00C4655A" w:rsidRPr="0046218E" w:rsidRDefault="00C4655A" w:rsidP="0040022E">
      <w:pPr>
        <w:ind w:left="720"/>
        <w:rPr>
          <w:sz w:val="22"/>
          <w:szCs w:val="22"/>
        </w:rPr>
      </w:pPr>
    </w:p>
    <w:p w14:paraId="5746D611" w14:textId="77777777" w:rsidR="00C4655A" w:rsidRPr="0046218E" w:rsidRDefault="00C4655A" w:rsidP="007B4646">
      <w:pPr>
        <w:ind w:left="360"/>
        <w:rPr>
          <w:sz w:val="22"/>
          <w:szCs w:val="22"/>
        </w:rPr>
      </w:pPr>
      <w:r w:rsidRPr="0046218E">
        <w:rPr>
          <w:sz w:val="22"/>
          <w:szCs w:val="22"/>
        </w:rPr>
        <w:t>The allocation targets will be maintained by using cash inflows or outflows to rebalance the funds among asset classes and investment service providers. If cash flows are not su</w:t>
      </w:r>
      <w:r w:rsidR="00594A9E" w:rsidRPr="0046218E">
        <w:rPr>
          <w:sz w:val="22"/>
          <w:szCs w:val="22"/>
        </w:rPr>
        <w:t>fficient, the Committee or the Investment A</w:t>
      </w:r>
      <w:r w:rsidRPr="0046218E">
        <w:rPr>
          <w:sz w:val="22"/>
          <w:szCs w:val="22"/>
        </w:rPr>
        <w:t>gents will rebalance the components to the appropriate target levels.</w:t>
      </w:r>
    </w:p>
    <w:p w14:paraId="538F285C" w14:textId="77777777" w:rsidR="00C4655A" w:rsidRPr="0046218E" w:rsidRDefault="00C4655A" w:rsidP="0040022E">
      <w:pPr>
        <w:ind w:left="720"/>
        <w:rPr>
          <w:sz w:val="22"/>
          <w:szCs w:val="22"/>
        </w:rPr>
      </w:pPr>
    </w:p>
    <w:p w14:paraId="360C37A0" w14:textId="77777777" w:rsidR="00C4655A" w:rsidRPr="0046218E" w:rsidRDefault="00C4655A" w:rsidP="002542C0">
      <w:pPr>
        <w:ind w:left="360"/>
        <w:outlineLvl w:val="0"/>
        <w:rPr>
          <w:sz w:val="22"/>
          <w:szCs w:val="22"/>
        </w:rPr>
      </w:pPr>
      <w:r w:rsidRPr="0046218E">
        <w:rPr>
          <w:sz w:val="22"/>
          <w:szCs w:val="22"/>
        </w:rPr>
        <w:t>Asset allocation will be based on market value.</w:t>
      </w:r>
    </w:p>
    <w:p w14:paraId="0DBEC5AD" w14:textId="77777777" w:rsidR="00C47FD7" w:rsidRPr="0046218E" w:rsidRDefault="00C47FD7" w:rsidP="002542C0">
      <w:pPr>
        <w:ind w:left="360"/>
        <w:outlineLvl w:val="0"/>
        <w:rPr>
          <w:sz w:val="22"/>
          <w:szCs w:val="22"/>
        </w:rPr>
      </w:pPr>
    </w:p>
    <w:p w14:paraId="6AB23B70" w14:textId="77777777" w:rsidR="00C4655A" w:rsidRPr="0046218E" w:rsidRDefault="00C4655A" w:rsidP="0040022E">
      <w:pPr>
        <w:ind w:left="720"/>
        <w:rPr>
          <w:sz w:val="22"/>
          <w:szCs w:val="22"/>
        </w:rPr>
      </w:pPr>
    </w:p>
    <w:p w14:paraId="529F1D5D" w14:textId="77777777" w:rsidR="003A1A43" w:rsidRPr="0046218E" w:rsidRDefault="003A1A43" w:rsidP="003A1A43">
      <w:pPr>
        <w:numPr>
          <w:ilvl w:val="0"/>
          <w:numId w:val="5"/>
        </w:numPr>
        <w:rPr>
          <w:b/>
          <w:sz w:val="22"/>
          <w:szCs w:val="22"/>
        </w:rPr>
      </w:pPr>
      <w:r w:rsidRPr="0046218E">
        <w:rPr>
          <w:b/>
          <w:sz w:val="22"/>
          <w:szCs w:val="22"/>
        </w:rPr>
        <w:t>PORTFOLIO GUIDELINES</w:t>
      </w:r>
    </w:p>
    <w:p w14:paraId="3D366548" w14:textId="77777777" w:rsidR="001562E1" w:rsidRPr="0046218E" w:rsidRDefault="001562E1" w:rsidP="001562E1">
      <w:pPr>
        <w:ind w:left="360"/>
        <w:rPr>
          <w:sz w:val="22"/>
          <w:szCs w:val="22"/>
        </w:rPr>
      </w:pPr>
    </w:p>
    <w:p w14:paraId="6AD85598" w14:textId="77777777" w:rsidR="003A1A43" w:rsidRPr="00ED65F6" w:rsidRDefault="00ED65F6" w:rsidP="003A1A43">
      <w:pPr>
        <w:numPr>
          <w:ilvl w:val="1"/>
          <w:numId w:val="5"/>
        </w:numPr>
        <w:rPr>
          <w:strike/>
          <w:sz w:val="22"/>
          <w:szCs w:val="22"/>
        </w:rPr>
      </w:pPr>
      <w:r w:rsidRPr="005F7615">
        <w:rPr>
          <w:sz w:val="22"/>
          <w:szCs w:val="22"/>
        </w:rPr>
        <w:t>GLOBAL EQUITIES</w:t>
      </w:r>
    </w:p>
    <w:p w14:paraId="08588B47" w14:textId="77777777" w:rsidR="001562E1" w:rsidRPr="0046218E" w:rsidRDefault="001562E1" w:rsidP="001562E1">
      <w:pPr>
        <w:ind w:left="1440"/>
        <w:rPr>
          <w:sz w:val="22"/>
          <w:szCs w:val="22"/>
        </w:rPr>
      </w:pPr>
    </w:p>
    <w:p w14:paraId="47E3DB5D" w14:textId="77777777" w:rsidR="001562E1" w:rsidRPr="0046218E" w:rsidRDefault="001562E1" w:rsidP="001562E1">
      <w:pPr>
        <w:ind w:left="1440"/>
        <w:rPr>
          <w:sz w:val="22"/>
          <w:szCs w:val="22"/>
        </w:rPr>
      </w:pPr>
      <w:r w:rsidRPr="0046218E">
        <w:rPr>
          <w:sz w:val="22"/>
          <w:szCs w:val="22"/>
        </w:rPr>
        <w:t>The purpose</w:t>
      </w:r>
      <w:r w:rsidR="009739FF" w:rsidRPr="0046218E">
        <w:rPr>
          <w:sz w:val="22"/>
          <w:szCs w:val="22"/>
        </w:rPr>
        <w:t xml:space="preserve"> of the Foundation’s equity investment portfolio is to provide total return. The equity portfolios shall consist primarily of marketable securities that may be purchased on recognized exchanges throughout the world. In any case, the following restrictions apply:</w:t>
      </w:r>
    </w:p>
    <w:p w14:paraId="0B635DF3" w14:textId="77777777" w:rsidR="009739FF" w:rsidRPr="0046218E" w:rsidRDefault="009739FF" w:rsidP="001562E1">
      <w:pPr>
        <w:ind w:left="1440"/>
        <w:rPr>
          <w:sz w:val="22"/>
          <w:szCs w:val="22"/>
        </w:rPr>
      </w:pPr>
    </w:p>
    <w:p w14:paraId="7E17DA9C" w14:textId="77777777" w:rsidR="003A1A43" w:rsidRPr="0046218E" w:rsidRDefault="003A1A43" w:rsidP="003A1A43">
      <w:pPr>
        <w:numPr>
          <w:ilvl w:val="2"/>
          <w:numId w:val="5"/>
        </w:numPr>
        <w:rPr>
          <w:sz w:val="22"/>
          <w:szCs w:val="22"/>
        </w:rPr>
      </w:pPr>
      <w:r w:rsidRPr="0046218E">
        <w:rPr>
          <w:sz w:val="22"/>
          <w:szCs w:val="22"/>
        </w:rPr>
        <w:t>The equity securities of any one corporate issuer should not exceed 5% of the equity portion, based on market value, of any manager’s portfolio</w:t>
      </w:r>
      <w:r w:rsidR="009739FF" w:rsidRPr="0046218E">
        <w:rPr>
          <w:sz w:val="22"/>
          <w:szCs w:val="22"/>
        </w:rPr>
        <w:t>.</w:t>
      </w:r>
    </w:p>
    <w:p w14:paraId="742AA0BC" w14:textId="77777777" w:rsidR="009739FF" w:rsidRPr="0046218E" w:rsidRDefault="009739FF" w:rsidP="009739FF">
      <w:pPr>
        <w:ind w:left="2160"/>
        <w:rPr>
          <w:sz w:val="22"/>
          <w:szCs w:val="22"/>
        </w:rPr>
      </w:pPr>
    </w:p>
    <w:p w14:paraId="22653520" w14:textId="77777777" w:rsidR="009739FF" w:rsidRPr="0046218E" w:rsidRDefault="009739FF" w:rsidP="009739FF">
      <w:pPr>
        <w:ind w:left="1980"/>
        <w:rPr>
          <w:sz w:val="22"/>
          <w:szCs w:val="22"/>
        </w:rPr>
      </w:pPr>
    </w:p>
    <w:p w14:paraId="1FB3C499" w14:textId="77777777" w:rsidR="003A1A43" w:rsidRPr="0046218E" w:rsidRDefault="00D9382B" w:rsidP="003A1A43">
      <w:pPr>
        <w:numPr>
          <w:ilvl w:val="2"/>
          <w:numId w:val="5"/>
        </w:numPr>
        <w:rPr>
          <w:sz w:val="22"/>
          <w:szCs w:val="22"/>
        </w:rPr>
      </w:pPr>
      <w:r w:rsidRPr="0046218E">
        <w:rPr>
          <w:sz w:val="22"/>
          <w:szCs w:val="22"/>
        </w:rPr>
        <w:t>Regulated investment companies (Mutual F</w:t>
      </w:r>
      <w:r w:rsidR="00755CEF" w:rsidRPr="0046218E">
        <w:rPr>
          <w:sz w:val="22"/>
          <w:szCs w:val="22"/>
        </w:rPr>
        <w:t>unds), Exchange Traded Funds (ETFs) or other commingled funds</w:t>
      </w:r>
      <w:r w:rsidRPr="0046218E">
        <w:rPr>
          <w:sz w:val="22"/>
          <w:szCs w:val="22"/>
        </w:rPr>
        <w:t xml:space="preserve"> may be used after careful consideration and evaluation based on asset class repr</w:t>
      </w:r>
      <w:r w:rsidR="00240D66" w:rsidRPr="0046218E">
        <w:rPr>
          <w:sz w:val="22"/>
          <w:szCs w:val="22"/>
        </w:rPr>
        <w:t>esentation, strategic approach,</w:t>
      </w:r>
      <w:r w:rsidR="00755CEF" w:rsidRPr="0046218E">
        <w:rPr>
          <w:sz w:val="22"/>
          <w:szCs w:val="22"/>
        </w:rPr>
        <w:t xml:space="preserve"> underlying holdings</w:t>
      </w:r>
      <w:r w:rsidRPr="0046218E">
        <w:rPr>
          <w:sz w:val="22"/>
          <w:szCs w:val="22"/>
        </w:rPr>
        <w:t>, ratings, rankings etc.  A</w:t>
      </w:r>
      <w:r w:rsidR="00755CEF" w:rsidRPr="0046218E">
        <w:rPr>
          <w:sz w:val="22"/>
          <w:szCs w:val="22"/>
        </w:rPr>
        <w:t>ny such funds shall not be considered derivative securities</w:t>
      </w:r>
      <w:r w:rsidRPr="0046218E">
        <w:rPr>
          <w:sz w:val="22"/>
          <w:szCs w:val="22"/>
        </w:rPr>
        <w:t>.</w:t>
      </w:r>
    </w:p>
    <w:p w14:paraId="4E89EF5B" w14:textId="77777777" w:rsidR="00D9382B" w:rsidRPr="0046218E" w:rsidRDefault="00D9382B" w:rsidP="00D9382B">
      <w:pPr>
        <w:ind w:left="1980"/>
        <w:rPr>
          <w:sz w:val="22"/>
          <w:szCs w:val="22"/>
        </w:rPr>
      </w:pPr>
    </w:p>
    <w:p w14:paraId="1CB064BB" w14:textId="77777777" w:rsidR="00D9382B" w:rsidRPr="0046218E" w:rsidRDefault="00D9382B" w:rsidP="003A1A43">
      <w:pPr>
        <w:numPr>
          <w:ilvl w:val="2"/>
          <w:numId w:val="5"/>
        </w:numPr>
        <w:rPr>
          <w:sz w:val="22"/>
          <w:szCs w:val="22"/>
        </w:rPr>
      </w:pPr>
      <w:r w:rsidRPr="0046218E">
        <w:rPr>
          <w:sz w:val="22"/>
          <w:szCs w:val="22"/>
        </w:rPr>
        <w:t xml:space="preserve">Within Global Equities, the portfolio’s broad regional and country exposures must be held within 10 percentage points of the major component weightings of the equity index used as a performance-measurement benchmark (e.g. the MSCI All Country World Index). Details will be provided </w:t>
      </w:r>
      <w:r w:rsidR="00ED65F6" w:rsidRPr="00B0789F">
        <w:rPr>
          <w:sz w:val="22"/>
          <w:szCs w:val="22"/>
        </w:rPr>
        <w:t xml:space="preserve">to agents </w:t>
      </w:r>
      <w:r w:rsidRPr="00B0789F">
        <w:rPr>
          <w:sz w:val="22"/>
          <w:szCs w:val="22"/>
        </w:rPr>
        <w:t xml:space="preserve">at </w:t>
      </w:r>
      <w:r w:rsidRPr="0046218E">
        <w:rPr>
          <w:sz w:val="22"/>
          <w:szCs w:val="22"/>
        </w:rPr>
        <w:t xml:space="preserve">least annually by the Committee.  The broad regional categories </w:t>
      </w:r>
      <w:r w:rsidR="009F367E" w:rsidRPr="0046218E">
        <w:rPr>
          <w:sz w:val="22"/>
          <w:szCs w:val="22"/>
        </w:rPr>
        <w:t>are:</w:t>
      </w:r>
      <w:r w:rsidRPr="0046218E">
        <w:rPr>
          <w:sz w:val="22"/>
          <w:szCs w:val="22"/>
        </w:rPr>
        <w:t xml:space="preserve"> </w:t>
      </w:r>
      <w:r w:rsidR="00723028">
        <w:rPr>
          <w:sz w:val="22"/>
          <w:szCs w:val="22"/>
        </w:rPr>
        <w:t>North American</w:t>
      </w:r>
      <w:r w:rsidRPr="0046218E">
        <w:rPr>
          <w:sz w:val="22"/>
          <w:szCs w:val="22"/>
        </w:rPr>
        <w:t xml:space="preserve"> equities, </w:t>
      </w:r>
      <w:r w:rsidR="000E1D06">
        <w:rPr>
          <w:sz w:val="22"/>
          <w:szCs w:val="22"/>
        </w:rPr>
        <w:t xml:space="preserve">other </w:t>
      </w:r>
      <w:r w:rsidRPr="0046218E">
        <w:rPr>
          <w:sz w:val="22"/>
          <w:szCs w:val="22"/>
        </w:rPr>
        <w:t>developed market equities and non-U.S. emerging market equities.</w:t>
      </w:r>
    </w:p>
    <w:p w14:paraId="36151846" w14:textId="77777777" w:rsidR="00240D66" w:rsidRPr="0046218E" w:rsidRDefault="00240D66" w:rsidP="00240D66">
      <w:pPr>
        <w:rPr>
          <w:sz w:val="22"/>
          <w:szCs w:val="22"/>
        </w:rPr>
      </w:pPr>
    </w:p>
    <w:p w14:paraId="62511410" w14:textId="77777777" w:rsidR="00D9382B" w:rsidRPr="0046218E" w:rsidRDefault="00240D66" w:rsidP="003A1A43">
      <w:pPr>
        <w:numPr>
          <w:ilvl w:val="2"/>
          <w:numId w:val="5"/>
        </w:numPr>
        <w:rPr>
          <w:sz w:val="22"/>
          <w:szCs w:val="22"/>
        </w:rPr>
      </w:pPr>
      <w:r w:rsidRPr="0046218E">
        <w:rPr>
          <w:sz w:val="22"/>
          <w:szCs w:val="22"/>
        </w:rPr>
        <w:t xml:space="preserve"> Broad diversification as to investment management style (i.e. growth, value) and capitalization of equity holdings (i.e. large cap, small cap) must be maintained. </w:t>
      </w:r>
    </w:p>
    <w:p w14:paraId="5B7B9376" w14:textId="77777777" w:rsidR="009739FF" w:rsidRPr="0046218E" w:rsidRDefault="009739FF" w:rsidP="009739FF">
      <w:pPr>
        <w:rPr>
          <w:sz w:val="22"/>
          <w:szCs w:val="22"/>
        </w:rPr>
      </w:pPr>
    </w:p>
    <w:p w14:paraId="2ED4F40E" w14:textId="77777777" w:rsidR="00755CEF" w:rsidRPr="00ED65F6" w:rsidRDefault="00ED65F6" w:rsidP="00755CEF">
      <w:pPr>
        <w:numPr>
          <w:ilvl w:val="1"/>
          <w:numId w:val="5"/>
        </w:numPr>
        <w:rPr>
          <w:strike/>
          <w:sz w:val="22"/>
          <w:szCs w:val="22"/>
        </w:rPr>
      </w:pPr>
      <w:r>
        <w:rPr>
          <w:sz w:val="22"/>
          <w:szCs w:val="22"/>
        </w:rPr>
        <w:t>FIXED INCOME</w:t>
      </w:r>
    </w:p>
    <w:p w14:paraId="3AA37CED" w14:textId="77777777" w:rsidR="00821BB7" w:rsidRPr="0046218E" w:rsidRDefault="00821BB7" w:rsidP="00821BB7">
      <w:pPr>
        <w:ind w:left="1440"/>
        <w:rPr>
          <w:sz w:val="22"/>
          <w:szCs w:val="22"/>
        </w:rPr>
      </w:pPr>
    </w:p>
    <w:p w14:paraId="2CFC60A6" w14:textId="77777777" w:rsidR="00821BB7" w:rsidRPr="0046218E" w:rsidRDefault="00821BB7" w:rsidP="00821BB7">
      <w:pPr>
        <w:ind w:left="1440"/>
        <w:rPr>
          <w:sz w:val="22"/>
          <w:szCs w:val="22"/>
        </w:rPr>
      </w:pPr>
      <w:r w:rsidRPr="0046218E">
        <w:rPr>
          <w:sz w:val="22"/>
          <w:szCs w:val="22"/>
        </w:rPr>
        <w:t>The purpose of the Foundation’s fixed income portfolio is to preserve principal by he</w:t>
      </w:r>
      <w:r w:rsidR="00D9382B" w:rsidRPr="0046218E">
        <w:rPr>
          <w:sz w:val="22"/>
          <w:szCs w:val="22"/>
        </w:rPr>
        <w:t>dging against deflation, providing</w:t>
      </w:r>
      <w:r w:rsidRPr="0046218E">
        <w:rPr>
          <w:sz w:val="22"/>
          <w:szCs w:val="22"/>
        </w:rPr>
        <w:t xml:space="preserve"> stability in the level of current income and limit</w:t>
      </w:r>
      <w:r w:rsidR="00C9111E" w:rsidRPr="0046218E">
        <w:rPr>
          <w:sz w:val="22"/>
          <w:szCs w:val="22"/>
        </w:rPr>
        <w:t>ing</w:t>
      </w:r>
      <w:r w:rsidRPr="0046218E">
        <w:rPr>
          <w:sz w:val="22"/>
          <w:szCs w:val="22"/>
        </w:rPr>
        <w:t xml:space="preserve"> the volatility of the total fund. The following restrictions apply: </w:t>
      </w:r>
      <w:r w:rsidR="00ED65F6" w:rsidRPr="00B0789F">
        <w:rPr>
          <w:sz w:val="22"/>
          <w:szCs w:val="22"/>
        </w:rPr>
        <w:t>Individual</w:t>
      </w:r>
      <w:r w:rsidR="00ED65F6">
        <w:rPr>
          <w:sz w:val="22"/>
          <w:szCs w:val="22"/>
        </w:rPr>
        <w:t xml:space="preserve"> s</w:t>
      </w:r>
      <w:r w:rsidRPr="0046218E">
        <w:rPr>
          <w:sz w:val="22"/>
          <w:szCs w:val="22"/>
        </w:rPr>
        <w:t>ecurities shall be diversified and be limited to obligations of the U.S. Government and its agencies, and corporate obligations regarded as investment grade by Moody’s (Baa</w:t>
      </w:r>
      <w:r w:rsidR="00C9111E" w:rsidRPr="0046218E">
        <w:rPr>
          <w:sz w:val="22"/>
          <w:szCs w:val="22"/>
        </w:rPr>
        <w:t xml:space="preserve"> or better</w:t>
      </w:r>
      <w:r w:rsidRPr="0046218E">
        <w:rPr>
          <w:sz w:val="22"/>
          <w:szCs w:val="22"/>
        </w:rPr>
        <w:t xml:space="preserve">) and Standard and </w:t>
      </w:r>
      <w:proofErr w:type="spellStart"/>
      <w:r w:rsidRPr="0046218E">
        <w:rPr>
          <w:sz w:val="22"/>
          <w:szCs w:val="22"/>
        </w:rPr>
        <w:t>Poors</w:t>
      </w:r>
      <w:proofErr w:type="spellEnd"/>
      <w:r w:rsidRPr="0046218E">
        <w:rPr>
          <w:sz w:val="22"/>
          <w:szCs w:val="22"/>
        </w:rPr>
        <w:t xml:space="preserve"> (BBB</w:t>
      </w:r>
      <w:r w:rsidR="00C9111E" w:rsidRPr="0046218E">
        <w:rPr>
          <w:sz w:val="22"/>
          <w:szCs w:val="22"/>
        </w:rPr>
        <w:t xml:space="preserve"> or better</w:t>
      </w:r>
      <w:r w:rsidRPr="0046218E">
        <w:rPr>
          <w:sz w:val="22"/>
          <w:szCs w:val="22"/>
        </w:rPr>
        <w:t>) at the time of purchase.</w:t>
      </w:r>
    </w:p>
    <w:p w14:paraId="69147DE5" w14:textId="77777777" w:rsidR="00821BB7" w:rsidRPr="0046218E" w:rsidRDefault="00821BB7" w:rsidP="00821BB7">
      <w:pPr>
        <w:ind w:left="1440"/>
        <w:rPr>
          <w:sz w:val="22"/>
          <w:szCs w:val="22"/>
        </w:rPr>
      </w:pPr>
    </w:p>
    <w:p w14:paraId="522E9FDE" w14:textId="77777777" w:rsidR="00821BB7" w:rsidRPr="0046218E" w:rsidRDefault="00821BB7" w:rsidP="00821BB7">
      <w:pPr>
        <w:ind w:left="1440"/>
        <w:rPr>
          <w:sz w:val="22"/>
          <w:szCs w:val="22"/>
        </w:rPr>
      </w:pPr>
      <w:r w:rsidRPr="0046218E">
        <w:rPr>
          <w:sz w:val="22"/>
          <w:szCs w:val="22"/>
        </w:rPr>
        <w:t xml:space="preserve">Where </w:t>
      </w:r>
      <w:r w:rsidR="00C9111E" w:rsidRPr="0046218E">
        <w:rPr>
          <w:sz w:val="22"/>
          <w:szCs w:val="22"/>
        </w:rPr>
        <w:t xml:space="preserve">co-mingled </w:t>
      </w:r>
      <w:r w:rsidRPr="0046218E">
        <w:rPr>
          <w:sz w:val="22"/>
          <w:szCs w:val="22"/>
        </w:rPr>
        <w:t>fixed income funds, with the exception of High Yield Bond</w:t>
      </w:r>
      <w:r w:rsidR="00F51868" w:rsidRPr="0046218E">
        <w:rPr>
          <w:sz w:val="22"/>
          <w:szCs w:val="22"/>
        </w:rPr>
        <w:t xml:space="preserve"> Funds in “c” below</w:t>
      </w:r>
      <w:r w:rsidRPr="0046218E">
        <w:rPr>
          <w:sz w:val="22"/>
          <w:szCs w:val="22"/>
        </w:rPr>
        <w:t xml:space="preserve"> are employed, each fund’s average rating should be regarded as investment grade, consistent with the foregoing.</w:t>
      </w:r>
    </w:p>
    <w:p w14:paraId="61B7F425" w14:textId="77777777" w:rsidR="00821BB7" w:rsidRPr="0046218E" w:rsidRDefault="00821BB7" w:rsidP="00821BB7">
      <w:pPr>
        <w:ind w:left="1440"/>
        <w:rPr>
          <w:sz w:val="22"/>
          <w:szCs w:val="22"/>
        </w:rPr>
      </w:pPr>
    </w:p>
    <w:p w14:paraId="691E09E1" w14:textId="77777777" w:rsidR="00821BB7" w:rsidRPr="0046218E" w:rsidRDefault="00821BB7" w:rsidP="00821BB7">
      <w:pPr>
        <w:ind w:left="1440"/>
        <w:rPr>
          <w:sz w:val="22"/>
          <w:szCs w:val="22"/>
        </w:rPr>
      </w:pPr>
      <w:r w:rsidRPr="0046218E">
        <w:rPr>
          <w:sz w:val="22"/>
          <w:szCs w:val="22"/>
        </w:rPr>
        <w:t>Cash and equivalent holdings will be included in the Fixed Income category. Cash includes short-term (maturity less than one year) fixed income instruments issued by the U.S. Government or its agencies, high quality corporate debt securities or money market instruments and bank certificates of deposit. Money Market Funds investing in such securities may be used. Any cash position in the portfolios will be included in the calculation of total return.</w:t>
      </w:r>
    </w:p>
    <w:p w14:paraId="406DDFCB" w14:textId="77777777" w:rsidR="00F51868" w:rsidRPr="0046218E" w:rsidRDefault="00F51868" w:rsidP="00821BB7">
      <w:pPr>
        <w:ind w:left="1440"/>
        <w:rPr>
          <w:sz w:val="22"/>
          <w:szCs w:val="22"/>
        </w:rPr>
      </w:pPr>
    </w:p>
    <w:p w14:paraId="522F4D88" w14:textId="77777777" w:rsidR="00F51868" w:rsidRPr="0046218E" w:rsidRDefault="00F51868" w:rsidP="00821BB7">
      <w:pPr>
        <w:ind w:left="1440"/>
        <w:rPr>
          <w:sz w:val="22"/>
          <w:szCs w:val="22"/>
        </w:rPr>
      </w:pPr>
      <w:r w:rsidRPr="0046218E">
        <w:rPr>
          <w:sz w:val="22"/>
          <w:szCs w:val="22"/>
        </w:rPr>
        <w:t>Give</w:t>
      </w:r>
      <w:r w:rsidR="00ED65F6" w:rsidRPr="00B0789F">
        <w:rPr>
          <w:sz w:val="22"/>
          <w:szCs w:val="22"/>
        </w:rPr>
        <w:t>n</w:t>
      </w:r>
      <w:r w:rsidRPr="0046218E">
        <w:rPr>
          <w:sz w:val="22"/>
          <w:szCs w:val="22"/>
        </w:rPr>
        <w:t xml:space="preserve"> the total returns expectations of the Foundation, it is expected that the role cash </w:t>
      </w:r>
      <w:r w:rsidR="00ED65F6" w:rsidRPr="00B0789F">
        <w:rPr>
          <w:sz w:val="22"/>
          <w:szCs w:val="22"/>
        </w:rPr>
        <w:t xml:space="preserve">and equivalents </w:t>
      </w:r>
      <w:r w:rsidRPr="0046218E">
        <w:rPr>
          <w:sz w:val="22"/>
          <w:szCs w:val="22"/>
        </w:rPr>
        <w:t>will play in any manager’s allocation will largely be defensive.</w:t>
      </w:r>
    </w:p>
    <w:p w14:paraId="7BBE2BA0" w14:textId="77777777" w:rsidR="00821BB7" w:rsidRPr="0046218E" w:rsidRDefault="00821BB7" w:rsidP="00821BB7">
      <w:pPr>
        <w:ind w:left="1440"/>
        <w:rPr>
          <w:sz w:val="22"/>
          <w:szCs w:val="22"/>
        </w:rPr>
      </w:pPr>
    </w:p>
    <w:p w14:paraId="499C956E" w14:textId="77777777" w:rsidR="00755CEF" w:rsidRPr="00ED65F6" w:rsidRDefault="00ED65F6" w:rsidP="00755CEF">
      <w:pPr>
        <w:numPr>
          <w:ilvl w:val="1"/>
          <w:numId w:val="5"/>
        </w:numPr>
        <w:rPr>
          <w:sz w:val="22"/>
          <w:szCs w:val="22"/>
        </w:rPr>
      </w:pPr>
      <w:r w:rsidRPr="00ED65F6">
        <w:rPr>
          <w:sz w:val="22"/>
          <w:szCs w:val="22"/>
        </w:rPr>
        <w:t xml:space="preserve"> DISCRETIONARY</w:t>
      </w:r>
    </w:p>
    <w:p w14:paraId="171D83FD" w14:textId="77777777" w:rsidR="00821BB7" w:rsidRPr="0046218E" w:rsidRDefault="00821BB7" w:rsidP="00821BB7">
      <w:pPr>
        <w:ind w:left="1440"/>
        <w:rPr>
          <w:sz w:val="22"/>
          <w:szCs w:val="22"/>
        </w:rPr>
      </w:pPr>
    </w:p>
    <w:p w14:paraId="625D5162" w14:textId="77777777" w:rsidR="00821BB7" w:rsidRPr="0046218E" w:rsidRDefault="00821BB7" w:rsidP="00821BB7">
      <w:pPr>
        <w:ind w:left="1440"/>
        <w:rPr>
          <w:sz w:val="22"/>
          <w:szCs w:val="22"/>
        </w:rPr>
      </w:pPr>
      <w:r w:rsidRPr="0046218E">
        <w:rPr>
          <w:sz w:val="22"/>
          <w:szCs w:val="22"/>
        </w:rPr>
        <w:t>The Discretionary allo</w:t>
      </w:r>
      <w:r w:rsidR="00594A9E" w:rsidRPr="0046218E">
        <w:rPr>
          <w:sz w:val="22"/>
          <w:szCs w:val="22"/>
        </w:rPr>
        <w:t>cation is designed to give the I</w:t>
      </w:r>
      <w:r w:rsidRPr="0046218E">
        <w:rPr>
          <w:sz w:val="22"/>
          <w:szCs w:val="22"/>
        </w:rPr>
        <w:t xml:space="preserve">nvestment </w:t>
      </w:r>
      <w:r w:rsidR="00594A9E" w:rsidRPr="0046218E">
        <w:rPr>
          <w:sz w:val="22"/>
          <w:szCs w:val="22"/>
        </w:rPr>
        <w:t>A</w:t>
      </w:r>
      <w:r w:rsidRPr="0046218E">
        <w:rPr>
          <w:sz w:val="22"/>
          <w:szCs w:val="22"/>
        </w:rPr>
        <w:t>gents additional flexibility to structure their overall asset mix to seek greater return, or lower risk, or greater diversification, or a more defensive positioning. The following guidelines apply:</w:t>
      </w:r>
    </w:p>
    <w:p w14:paraId="3107F997" w14:textId="77777777" w:rsidR="00821BB7" w:rsidRPr="0046218E" w:rsidRDefault="00821BB7" w:rsidP="00821BB7">
      <w:pPr>
        <w:ind w:left="1440"/>
        <w:rPr>
          <w:sz w:val="22"/>
          <w:szCs w:val="22"/>
        </w:rPr>
      </w:pPr>
    </w:p>
    <w:p w14:paraId="19FED94B" w14:textId="77777777" w:rsidR="00755CEF" w:rsidRPr="0046218E" w:rsidRDefault="00755CEF" w:rsidP="00755CEF">
      <w:pPr>
        <w:numPr>
          <w:ilvl w:val="2"/>
          <w:numId w:val="5"/>
        </w:numPr>
        <w:rPr>
          <w:sz w:val="22"/>
          <w:szCs w:val="22"/>
        </w:rPr>
      </w:pPr>
      <w:r w:rsidRPr="0046218E">
        <w:rPr>
          <w:sz w:val="22"/>
          <w:szCs w:val="22"/>
        </w:rPr>
        <w:t>Any investments that are acceptable under sections a. and b. of the Portfolio Guidelines are acceptable for this allocation.</w:t>
      </w:r>
    </w:p>
    <w:p w14:paraId="60E2D801" w14:textId="77777777" w:rsidR="00547B83" w:rsidRPr="0046218E" w:rsidRDefault="00547B83" w:rsidP="00547B83">
      <w:pPr>
        <w:ind w:left="1980"/>
        <w:rPr>
          <w:sz w:val="22"/>
          <w:szCs w:val="22"/>
        </w:rPr>
      </w:pPr>
    </w:p>
    <w:p w14:paraId="79857C52" w14:textId="77777777" w:rsidR="00755CEF" w:rsidRPr="0046218E" w:rsidRDefault="00755CEF" w:rsidP="00755CEF">
      <w:pPr>
        <w:numPr>
          <w:ilvl w:val="2"/>
          <w:numId w:val="5"/>
        </w:numPr>
        <w:rPr>
          <w:sz w:val="22"/>
          <w:szCs w:val="22"/>
        </w:rPr>
      </w:pPr>
      <w:r w:rsidRPr="0046218E">
        <w:rPr>
          <w:sz w:val="22"/>
          <w:szCs w:val="22"/>
        </w:rPr>
        <w:t>Agents may invest in publicly traded mutual funds that may help meet the goals described above. These investments could include, among others:</w:t>
      </w:r>
    </w:p>
    <w:p w14:paraId="10FF4D74" w14:textId="77777777" w:rsidR="00547B83" w:rsidRPr="0046218E" w:rsidRDefault="00547B83" w:rsidP="00547B83">
      <w:pPr>
        <w:rPr>
          <w:sz w:val="22"/>
          <w:szCs w:val="22"/>
        </w:rPr>
      </w:pPr>
    </w:p>
    <w:p w14:paraId="2D4B11C4" w14:textId="77777777" w:rsidR="00755CEF" w:rsidRPr="0046218E" w:rsidRDefault="00755CEF" w:rsidP="00755CEF">
      <w:pPr>
        <w:numPr>
          <w:ilvl w:val="3"/>
          <w:numId w:val="5"/>
        </w:numPr>
        <w:rPr>
          <w:sz w:val="22"/>
          <w:szCs w:val="22"/>
        </w:rPr>
      </w:pPr>
      <w:r w:rsidRPr="0046218E">
        <w:rPr>
          <w:sz w:val="22"/>
          <w:szCs w:val="22"/>
        </w:rPr>
        <w:t>Sector funds (such as REITs, technology, health care, energy, precious metals, etc.).</w:t>
      </w:r>
    </w:p>
    <w:p w14:paraId="33F54FA4" w14:textId="77777777" w:rsidR="00547B83" w:rsidRPr="0046218E" w:rsidRDefault="00547B83" w:rsidP="00547B83">
      <w:pPr>
        <w:ind w:left="2520"/>
        <w:rPr>
          <w:sz w:val="22"/>
          <w:szCs w:val="22"/>
        </w:rPr>
      </w:pPr>
    </w:p>
    <w:p w14:paraId="64FD0C56" w14:textId="77777777" w:rsidR="00755CEF" w:rsidRPr="0046218E" w:rsidRDefault="00755CEF" w:rsidP="00755CEF">
      <w:pPr>
        <w:numPr>
          <w:ilvl w:val="3"/>
          <w:numId w:val="5"/>
        </w:numPr>
        <w:rPr>
          <w:sz w:val="22"/>
          <w:szCs w:val="22"/>
        </w:rPr>
      </w:pPr>
      <w:r w:rsidRPr="0046218E">
        <w:rPr>
          <w:sz w:val="22"/>
          <w:szCs w:val="22"/>
        </w:rPr>
        <w:t>Commodity funds (such as a real asset fund, natural resources, timber funds, etc.).</w:t>
      </w:r>
    </w:p>
    <w:p w14:paraId="5ACF1D33" w14:textId="77777777" w:rsidR="00547B83" w:rsidRPr="0046218E" w:rsidRDefault="00547B83" w:rsidP="00547B83">
      <w:pPr>
        <w:rPr>
          <w:sz w:val="22"/>
          <w:szCs w:val="22"/>
        </w:rPr>
      </w:pPr>
    </w:p>
    <w:p w14:paraId="56A02530" w14:textId="77777777" w:rsidR="00755CEF" w:rsidRPr="0046218E" w:rsidRDefault="00755CEF" w:rsidP="00755CEF">
      <w:pPr>
        <w:numPr>
          <w:ilvl w:val="3"/>
          <w:numId w:val="5"/>
        </w:numPr>
        <w:rPr>
          <w:sz w:val="22"/>
          <w:szCs w:val="22"/>
        </w:rPr>
      </w:pPr>
      <w:r w:rsidRPr="0046218E">
        <w:rPr>
          <w:sz w:val="22"/>
          <w:szCs w:val="22"/>
        </w:rPr>
        <w:t>High Yield Bond funds.</w:t>
      </w:r>
    </w:p>
    <w:p w14:paraId="58BF7F59" w14:textId="77777777" w:rsidR="00547B83" w:rsidRPr="0046218E" w:rsidRDefault="00547B83" w:rsidP="00547B83">
      <w:pPr>
        <w:rPr>
          <w:sz w:val="22"/>
          <w:szCs w:val="22"/>
        </w:rPr>
      </w:pPr>
    </w:p>
    <w:p w14:paraId="45855C2A" w14:textId="77777777" w:rsidR="00755CEF" w:rsidRDefault="00755CEF" w:rsidP="00755CEF">
      <w:pPr>
        <w:numPr>
          <w:ilvl w:val="3"/>
          <w:numId w:val="5"/>
        </w:numPr>
        <w:rPr>
          <w:sz w:val="22"/>
          <w:szCs w:val="22"/>
        </w:rPr>
      </w:pPr>
      <w:r w:rsidRPr="0046218E">
        <w:rPr>
          <w:sz w:val="22"/>
          <w:szCs w:val="22"/>
        </w:rPr>
        <w:t>Market Neutral, Hedge, or Absolute Return funds.</w:t>
      </w:r>
    </w:p>
    <w:p w14:paraId="282D8124" w14:textId="77777777" w:rsidR="00ED65F6" w:rsidRDefault="00ED65F6" w:rsidP="00ED65F6">
      <w:pPr>
        <w:pStyle w:val="ListParagraph"/>
        <w:rPr>
          <w:sz w:val="22"/>
          <w:szCs w:val="22"/>
        </w:rPr>
      </w:pPr>
    </w:p>
    <w:p w14:paraId="74BFF94C" w14:textId="77777777" w:rsidR="00ED65F6" w:rsidRPr="00B0789F" w:rsidRDefault="00ED65F6" w:rsidP="00755CEF">
      <w:pPr>
        <w:numPr>
          <w:ilvl w:val="3"/>
          <w:numId w:val="5"/>
        </w:numPr>
        <w:rPr>
          <w:sz w:val="22"/>
          <w:szCs w:val="22"/>
        </w:rPr>
      </w:pPr>
      <w:r w:rsidRPr="00B0789F">
        <w:rPr>
          <w:sz w:val="22"/>
          <w:szCs w:val="22"/>
        </w:rPr>
        <w:t>Non-U.S. Bond Funds</w:t>
      </w:r>
    </w:p>
    <w:p w14:paraId="03CBD3CC" w14:textId="77777777" w:rsidR="00547B83" w:rsidRPr="00ED65F6" w:rsidRDefault="00547B83" w:rsidP="00547B83">
      <w:pPr>
        <w:rPr>
          <w:color w:val="FF0000"/>
          <w:sz w:val="22"/>
          <w:szCs w:val="22"/>
        </w:rPr>
      </w:pPr>
    </w:p>
    <w:p w14:paraId="3D88DDE6" w14:textId="77777777" w:rsidR="00755CEF" w:rsidRDefault="00755CEF" w:rsidP="00755CEF">
      <w:pPr>
        <w:numPr>
          <w:ilvl w:val="2"/>
          <w:numId w:val="5"/>
        </w:numPr>
        <w:rPr>
          <w:sz w:val="22"/>
          <w:szCs w:val="22"/>
        </w:rPr>
      </w:pPr>
      <w:r w:rsidRPr="0046218E">
        <w:rPr>
          <w:sz w:val="22"/>
          <w:szCs w:val="22"/>
        </w:rPr>
        <w:t>If purchases of individual equities or fixed income securities are undertaken, no more than 5% of the Discretionary allocation may be invested in any one corporate issuer.</w:t>
      </w:r>
    </w:p>
    <w:p w14:paraId="46B5A183" w14:textId="77777777" w:rsidR="00335088" w:rsidRDefault="00335088" w:rsidP="00335088">
      <w:pPr>
        <w:ind w:left="2160"/>
        <w:rPr>
          <w:sz w:val="22"/>
          <w:szCs w:val="22"/>
        </w:rPr>
      </w:pPr>
    </w:p>
    <w:p w14:paraId="4101FA14" w14:textId="77777777" w:rsidR="00335088" w:rsidRPr="00B0789F" w:rsidRDefault="00CF7A78" w:rsidP="00335088">
      <w:pPr>
        <w:numPr>
          <w:ilvl w:val="1"/>
          <w:numId w:val="5"/>
        </w:numPr>
        <w:rPr>
          <w:sz w:val="22"/>
          <w:szCs w:val="22"/>
        </w:rPr>
      </w:pPr>
      <w:r w:rsidRPr="00B0789F">
        <w:rPr>
          <w:sz w:val="22"/>
          <w:szCs w:val="22"/>
        </w:rPr>
        <w:t>OTHER HOLDINGS</w:t>
      </w:r>
    </w:p>
    <w:p w14:paraId="03E3A2CB" w14:textId="77777777" w:rsidR="00335088" w:rsidRPr="00B0789F" w:rsidRDefault="00335088" w:rsidP="00335088">
      <w:pPr>
        <w:ind w:left="1440"/>
        <w:jc w:val="both"/>
      </w:pPr>
    </w:p>
    <w:p w14:paraId="4EE8EAD6" w14:textId="693D93D9" w:rsidR="00335088" w:rsidRPr="00B0789F" w:rsidRDefault="00335088" w:rsidP="00335088">
      <w:pPr>
        <w:ind w:left="1440"/>
        <w:jc w:val="both"/>
      </w:pPr>
      <w:r w:rsidRPr="00B0789F">
        <w:t>In an effort to enhance the overall investment of the Foundation's portfolio, the Investment Committee may oversee other</w:t>
      </w:r>
      <w:r w:rsidR="00D42932" w:rsidRPr="00B0789F">
        <w:t xml:space="preserve"> commingled</w:t>
      </w:r>
      <w:r w:rsidRPr="00B0789F">
        <w:t xml:space="preserve"> investments, subject to Board approval.  More particularly, the Foundation may target up to </w:t>
      </w:r>
      <w:r w:rsidR="00EA46A3">
        <w:t>twenty</w:t>
      </w:r>
      <w:r w:rsidRPr="00B0789F">
        <w:t xml:space="preserve"> percent (</w:t>
      </w:r>
      <w:r w:rsidR="00EA46A3">
        <w:t>20</w:t>
      </w:r>
      <w:r w:rsidRPr="00B0789F">
        <w:t>%) of the total market value of the portfolio into private capital. Private equity, debt, and real estate markets are considered to be inefficient. The Foundation will invest in institutional quality private equity, debt, and real estate investment partnerships, which include, but are not limited to, venture capital, buy-out funds, private equity, private debt, distressed debt, natural resources/ commodities, and private real estate. Such investments will be evaluated for their impact on the Foundation's overall asset allocations into global equity, fixed income and discretionary investments.</w:t>
      </w:r>
    </w:p>
    <w:p w14:paraId="5885EA35" w14:textId="77777777" w:rsidR="00335088" w:rsidRDefault="00335088" w:rsidP="00335088">
      <w:pPr>
        <w:ind w:left="1440"/>
        <w:rPr>
          <w:sz w:val="22"/>
          <w:szCs w:val="22"/>
        </w:rPr>
      </w:pPr>
    </w:p>
    <w:p w14:paraId="2476E49F" w14:textId="77777777" w:rsidR="00B0789F" w:rsidRPr="00B0789F" w:rsidRDefault="00B0789F" w:rsidP="00335088">
      <w:pPr>
        <w:ind w:left="1440"/>
        <w:rPr>
          <w:sz w:val="22"/>
          <w:szCs w:val="22"/>
        </w:rPr>
      </w:pPr>
    </w:p>
    <w:p w14:paraId="002D7AC9" w14:textId="77777777" w:rsidR="00547B83" w:rsidRPr="0046218E" w:rsidRDefault="00547B83" w:rsidP="00547B83">
      <w:pPr>
        <w:rPr>
          <w:sz w:val="22"/>
          <w:szCs w:val="22"/>
        </w:rPr>
      </w:pPr>
    </w:p>
    <w:p w14:paraId="6BCC2E62" w14:textId="77777777" w:rsidR="00755CEF" w:rsidRPr="0046218E" w:rsidRDefault="00CF7A78" w:rsidP="00755CEF">
      <w:pPr>
        <w:numPr>
          <w:ilvl w:val="1"/>
          <w:numId w:val="5"/>
        </w:numPr>
        <w:rPr>
          <w:sz w:val="22"/>
          <w:szCs w:val="22"/>
        </w:rPr>
      </w:pPr>
      <w:r>
        <w:rPr>
          <w:sz w:val="22"/>
          <w:szCs w:val="22"/>
        </w:rPr>
        <w:lastRenderedPageBreak/>
        <w:t>RESTRICTED SECURITIES</w:t>
      </w:r>
    </w:p>
    <w:p w14:paraId="131C5CBE" w14:textId="77777777" w:rsidR="00547B83" w:rsidRPr="0046218E" w:rsidRDefault="00547B83" w:rsidP="00547B83">
      <w:pPr>
        <w:ind w:left="1440"/>
        <w:rPr>
          <w:sz w:val="22"/>
          <w:szCs w:val="22"/>
        </w:rPr>
      </w:pPr>
    </w:p>
    <w:p w14:paraId="421E9F8B" w14:textId="77777777" w:rsidR="00547B83" w:rsidRPr="0046218E" w:rsidRDefault="00547B83" w:rsidP="00547B83">
      <w:pPr>
        <w:ind w:left="1440"/>
        <w:rPr>
          <w:sz w:val="22"/>
          <w:szCs w:val="22"/>
        </w:rPr>
      </w:pPr>
      <w:r w:rsidRPr="0046218E">
        <w:rPr>
          <w:sz w:val="22"/>
          <w:szCs w:val="22"/>
        </w:rPr>
        <w:t>Under the Prudent Investor Rule each investment is judged in the context of the entire portfolio. However, this Investment Policy does restrict some individual investments or strategies outside of a mutual fund or other commingled fund context. Some examples</w:t>
      </w:r>
      <w:r w:rsidR="00C9111E" w:rsidRPr="0046218E">
        <w:rPr>
          <w:sz w:val="22"/>
          <w:szCs w:val="22"/>
        </w:rPr>
        <w:t xml:space="preserve"> include</w:t>
      </w:r>
      <w:r w:rsidRPr="0046218E">
        <w:rPr>
          <w:sz w:val="22"/>
          <w:szCs w:val="22"/>
        </w:rPr>
        <w:t>, but</w:t>
      </w:r>
      <w:r w:rsidR="00C9111E" w:rsidRPr="0046218E">
        <w:rPr>
          <w:sz w:val="22"/>
          <w:szCs w:val="22"/>
        </w:rPr>
        <w:t xml:space="preserve"> are</w:t>
      </w:r>
      <w:r w:rsidRPr="0046218E">
        <w:rPr>
          <w:sz w:val="22"/>
          <w:szCs w:val="22"/>
        </w:rPr>
        <w:t xml:space="preserve"> not limited to, those listed below:</w:t>
      </w:r>
    </w:p>
    <w:p w14:paraId="2BDB6C04" w14:textId="77777777" w:rsidR="00547B83" w:rsidRPr="0046218E" w:rsidRDefault="00547B83" w:rsidP="00547B83">
      <w:pPr>
        <w:ind w:left="1440"/>
        <w:rPr>
          <w:sz w:val="22"/>
          <w:szCs w:val="22"/>
        </w:rPr>
      </w:pPr>
    </w:p>
    <w:p w14:paraId="1BCBAB19" w14:textId="77777777" w:rsidR="00755CEF" w:rsidRPr="0046218E" w:rsidRDefault="00755CEF" w:rsidP="00755CEF">
      <w:pPr>
        <w:numPr>
          <w:ilvl w:val="2"/>
          <w:numId w:val="5"/>
        </w:numPr>
        <w:rPr>
          <w:sz w:val="22"/>
          <w:szCs w:val="22"/>
        </w:rPr>
      </w:pPr>
      <w:r w:rsidRPr="0046218E">
        <w:rPr>
          <w:sz w:val="22"/>
          <w:szCs w:val="22"/>
        </w:rPr>
        <w:t>Purchasing and selling commodities or commodity contracts.</w:t>
      </w:r>
    </w:p>
    <w:p w14:paraId="6F6FA928" w14:textId="77777777" w:rsidR="00547B83" w:rsidRPr="0046218E" w:rsidRDefault="00547B83" w:rsidP="00547B83">
      <w:pPr>
        <w:ind w:left="1980"/>
        <w:rPr>
          <w:sz w:val="22"/>
          <w:szCs w:val="22"/>
        </w:rPr>
      </w:pPr>
    </w:p>
    <w:p w14:paraId="29B963E3" w14:textId="77777777" w:rsidR="00755CEF" w:rsidRPr="0046218E" w:rsidRDefault="00755CEF" w:rsidP="00755CEF">
      <w:pPr>
        <w:numPr>
          <w:ilvl w:val="2"/>
          <w:numId w:val="5"/>
        </w:numPr>
        <w:rPr>
          <w:sz w:val="22"/>
          <w:szCs w:val="22"/>
        </w:rPr>
      </w:pPr>
      <w:r w:rsidRPr="0046218E">
        <w:rPr>
          <w:sz w:val="22"/>
          <w:szCs w:val="22"/>
        </w:rPr>
        <w:t>Selling securities short.</w:t>
      </w:r>
    </w:p>
    <w:p w14:paraId="4839B4C9" w14:textId="77777777" w:rsidR="00547B83" w:rsidRPr="0046218E" w:rsidRDefault="00547B83" w:rsidP="00547B83">
      <w:pPr>
        <w:rPr>
          <w:sz w:val="22"/>
          <w:szCs w:val="22"/>
        </w:rPr>
      </w:pPr>
    </w:p>
    <w:p w14:paraId="68D95B22" w14:textId="77777777" w:rsidR="00755CEF" w:rsidRPr="0046218E" w:rsidRDefault="00755CEF" w:rsidP="00755CEF">
      <w:pPr>
        <w:numPr>
          <w:ilvl w:val="2"/>
          <w:numId w:val="5"/>
        </w:numPr>
        <w:rPr>
          <w:sz w:val="22"/>
          <w:szCs w:val="22"/>
        </w:rPr>
      </w:pPr>
      <w:r w:rsidRPr="0046218E">
        <w:rPr>
          <w:sz w:val="22"/>
          <w:szCs w:val="22"/>
        </w:rPr>
        <w:t>Purchasing securities on margin or the use of leverage in any manner including any fund using leverage. (e.g. leveraged ETFs)</w:t>
      </w:r>
    </w:p>
    <w:p w14:paraId="758A1891" w14:textId="77777777" w:rsidR="00547B83" w:rsidRPr="0046218E" w:rsidRDefault="00547B83" w:rsidP="00547B83">
      <w:pPr>
        <w:rPr>
          <w:sz w:val="22"/>
          <w:szCs w:val="22"/>
        </w:rPr>
      </w:pPr>
    </w:p>
    <w:p w14:paraId="4DDD5E1F" w14:textId="77777777" w:rsidR="00755CEF" w:rsidRPr="0046218E" w:rsidRDefault="00755CEF" w:rsidP="00755CEF">
      <w:pPr>
        <w:numPr>
          <w:ilvl w:val="2"/>
          <w:numId w:val="5"/>
        </w:numPr>
        <w:rPr>
          <w:sz w:val="22"/>
          <w:szCs w:val="22"/>
        </w:rPr>
      </w:pPr>
      <w:r w:rsidRPr="0046218E">
        <w:rPr>
          <w:sz w:val="22"/>
          <w:szCs w:val="22"/>
        </w:rPr>
        <w:t>Writing, purchasing, or selling naked options.</w:t>
      </w:r>
    </w:p>
    <w:p w14:paraId="4070B762" w14:textId="77777777" w:rsidR="00547B83" w:rsidRPr="0046218E" w:rsidRDefault="00547B83" w:rsidP="00547B83">
      <w:pPr>
        <w:rPr>
          <w:sz w:val="22"/>
          <w:szCs w:val="22"/>
        </w:rPr>
      </w:pPr>
    </w:p>
    <w:p w14:paraId="3F380890" w14:textId="77777777" w:rsidR="00547B83" w:rsidRPr="0046218E" w:rsidRDefault="00755CEF" w:rsidP="00547B83">
      <w:pPr>
        <w:numPr>
          <w:ilvl w:val="2"/>
          <w:numId w:val="5"/>
        </w:numPr>
        <w:rPr>
          <w:sz w:val="22"/>
          <w:szCs w:val="22"/>
        </w:rPr>
      </w:pPr>
      <w:r w:rsidRPr="0046218E">
        <w:rPr>
          <w:sz w:val="22"/>
          <w:szCs w:val="22"/>
        </w:rPr>
        <w:t>D</w:t>
      </w:r>
      <w:r w:rsidR="00FD0C73" w:rsidRPr="0046218E">
        <w:rPr>
          <w:sz w:val="22"/>
          <w:szCs w:val="22"/>
        </w:rPr>
        <w:t>erivative securities, except</w:t>
      </w:r>
      <w:r w:rsidR="00C9111E" w:rsidRPr="0046218E">
        <w:rPr>
          <w:sz w:val="22"/>
          <w:szCs w:val="22"/>
        </w:rPr>
        <w:t xml:space="preserve"> as may be used in a co-mingled fund</w:t>
      </w:r>
    </w:p>
    <w:p w14:paraId="63AD4D9C" w14:textId="77777777" w:rsidR="00C9111E" w:rsidRPr="0046218E" w:rsidRDefault="00C9111E" w:rsidP="00C9111E">
      <w:pPr>
        <w:rPr>
          <w:sz w:val="22"/>
          <w:szCs w:val="22"/>
        </w:rPr>
      </w:pPr>
    </w:p>
    <w:p w14:paraId="0A873696" w14:textId="77777777" w:rsidR="00755CEF" w:rsidRPr="0046218E" w:rsidRDefault="00755CEF" w:rsidP="00755CEF">
      <w:pPr>
        <w:numPr>
          <w:ilvl w:val="2"/>
          <w:numId w:val="5"/>
        </w:numPr>
        <w:rPr>
          <w:sz w:val="22"/>
          <w:szCs w:val="22"/>
        </w:rPr>
      </w:pPr>
      <w:r w:rsidRPr="0046218E">
        <w:rPr>
          <w:sz w:val="22"/>
          <w:szCs w:val="22"/>
        </w:rPr>
        <w:t>Non-publicly traded securities.</w:t>
      </w:r>
    </w:p>
    <w:p w14:paraId="0045D4F7" w14:textId="77777777" w:rsidR="00547B83" w:rsidRPr="0046218E" w:rsidRDefault="00547B83" w:rsidP="00547B83">
      <w:pPr>
        <w:rPr>
          <w:sz w:val="22"/>
          <w:szCs w:val="22"/>
        </w:rPr>
      </w:pPr>
    </w:p>
    <w:p w14:paraId="1207AB40" w14:textId="77777777" w:rsidR="00C9111E" w:rsidRPr="0046218E" w:rsidRDefault="00C9111E" w:rsidP="00C9111E">
      <w:pPr>
        <w:ind w:left="1440"/>
        <w:rPr>
          <w:sz w:val="22"/>
          <w:szCs w:val="22"/>
        </w:rPr>
      </w:pPr>
      <w:r w:rsidRPr="0046218E">
        <w:rPr>
          <w:sz w:val="22"/>
          <w:szCs w:val="22"/>
        </w:rPr>
        <w:t>Any questions that arise about acceptable or unacceptable investments should be directed to the Investment Committee.</w:t>
      </w:r>
    </w:p>
    <w:p w14:paraId="4B416D79" w14:textId="77777777" w:rsidR="00C9111E" w:rsidRPr="0046218E" w:rsidRDefault="00C9111E" w:rsidP="00547B83">
      <w:pPr>
        <w:ind w:left="1440"/>
        <w:rPr>
          <w:sz w:val="22"/>
          <w:szCs w:val="22"/>
        </w:rPr>
      </w:pPr>
    </w:p>
    <w:p w14:paraId="28119E25" w14:textId="77777777" w:rsidR="00547B83" w:rsidRPr="0046218E" w:rsidRDefault="00547B83" w:rsidP="00547B83">
      <w:pPr>
        <w:ind w:left="1440"/>
        <w:rPr>
          <w:sz w:val="22"/>
          <w:szCs w:val="22"/>
        </w:rPr>
      </w:pPr>
      <w:r w:rsidRPr="0046218E">
        <w:rPr>
          <w:sz w:val="22"/>
          <w:szCs w:val="22"/>
        </w:rPr>
        <w:t>The Committee may permit exceptions to any or all of these restrictions for any individual manager with Board approval.</w:t>
      </w:r>
    </w:p>
    <w:p w14:paraId="46ECBFAB" w14:textId="77777777" w:rsidR="00547B83" w:rsidRPr="0046218E" w:rsidRDefault="00547B83" w:rsidP="00547B83">
      <w:pPr>
        <w:ind w:left="1440"/>
        <w:rPr>
          <w:sz w:val="22"/>
          <w:szCs w:val="22"/>
        </w:rPr>
      </w:pPr>
    </w:p>
    <w:p w14:paraId="0381CEE1" w14:textId="77777777" w:rsidR="00547B83" w:rsidRPr="0046218E" w:rsidRDefault="00547B83" w:rsidP="00547B83">
      <w:pPr>
        <w:ind w:left="1440"/>
        <w:rPr>
          <w:sz w:val="22"/>
          <w:szCs w:val="22"/>
        </w:rPr>
      </w:pPr>
    </w:p>
    <w:p w14:paraId="25EA335B" w14:textId="77777777" w:rsidR="00755CEF" w:rsidRPr="0046218E" w:rsidRDefault="00755CEF" w:rsidP="00755CEF">
      <w:pPr>
        <w:numPr>
          <w:ilvl w:val="0"/>
          <w:numId w:val="5"/>
        </w:numPr>
        <w:rPr>
          <w:b/>
          <w:sz w:val="22"/>
          <w:szCs w:val="22"/>
        </w:rPr>
      </w:pPr>
      <w:r w:rsidRPr="0046218E">
        <w:rPr>
          <w:b/>
          <w:sz w:val="22"/>
          <w:szCs w:val="22"/>
        </w:rPr>
        <w:t>INVESTMENT AGENTS OF THE FOUNDATION</w:t>
      </w:r>
    </w:p>
    <w:p w14:paraId="24C0E494" w14:textId="77777777" w:rsidR="00547B83" w:rsidRPr="0046218E" w:rsidRDefault="00547B83" w:rsidP="00547B83">
      <w:pPr>
        <w:ind w:left="360"/>
        <w:rPr>
          <w:sz w:val="22"/>
          <w:szCs w:val="22"/>
        </w:rPr>
      </w:pPr>
    </w:p>
    <w:p w14:paraId="170DD64A" w14:textId="77777777" w:rsidR="00755CEF" w:rsidRPr="0046218E" w:rsidRDefault="00755CEF" w:rsidP="00755CEF">
      <w:pPr>
        <w:numPr>
          <w:ilvl w:val="1"/>
          <w:numId w:val="5"/>
        </w:numPr>
        <w:rPr>
          <w:sz w:val="22"/>
          <w:szCs w:val="22"/>
        </w:rPr>
      </w:pPr>
      <w:r w:rsidRPr="0046218E">
        <w:rPr>
          <w:sz w:val="22"/>
          <w:szCs w:val="22"/>
        </w:rPr>
        <w:t>INVESTMENT PROGRAM</w:t>
      </w:r>
    </w:p>
    <w:p w14:paraId="08E2842B" w14:textId="77777777" w:rsidR="00547B83" w:rsidRPr="0046218E" w:rsidRDefault="00547B83" w:rsidP="00547B83">
      <w:pPr>
        <w:ind w:left="1440"/>
        <w:rPr>
          <w:sz w:val="22"/>
          <w:szCs w:val="22"/>
        </w:rPr>
      </w:pPr>
    </w:p>
    <w:p w14:paraId="74F50A55" w14:textId="77777777" w:rsidR="00547B83" w:rsidRPr="0046218E" w:rsidRDefault="00547B83" w:rsidP="00547B83">
      <w:pPr>
        <w:ind w:left="1440"/>
        <w:rPr>
          <w:sz w:val="22"/>
          <w:szCs w:val="22"/>
        </w:rPr>
      </w:pPr>
      <w:r w:rsidRPr="00CF7A78">
        <w:rPr>
          <w:sz w:val="22"/>
          <w:szCs w:val="22"/>
        </w:rPr>
        <w:t>The minimum threshold to establish a new investment management account is $1 million. The Foundation also allows investment managers to establish a “step-up account” with an initial amount of $500,000 and build to the $1 million minimum within three years. If the account fails to reach $1 million with</w:t>
      </w:r>
      <w:r w:rsidR="005367C1" w:rsidRPr="00CF7A78">
        <w:rPr>
          <w:sz w:val="22"/>
          <w:szCs w:val="22"/>
        </w:rPr>
        <w:t>in</w:t>
      </w:r>
      <w:r w:rsidRPr="00CF7A78">
        <w:rPr>
          <w:sz w:val="22"/>
          <w:szCs w:val="22"/>
        </w:rPr>
        <w:t xml:space="preserve"> the three years, the Foundation Board may elect to redistribute the money among other investment management accounts held by the Foundation</w:t>
      </w:r>
      <w:r w:rsidRPr="0046218E">
        <w:rPr>
          <w:sz w:val="22"/>
          <w:szCs w:val="22"/>
        </w:rPr>
        <w:t>.</w:t>
      </w:r>
    </w:p>
    <w:p w14:paraId="779A5F3A" w14:textId="77777777" w:rsidR="00547B83" w:rsidRPr="0046218E" w:rsidRDefault="00547B83" w:rsidP="00547B83">
      <w:pPr>
        <w:ind w:left="1440"/>
        <w:rPr>
          <w:sz w:val="22"/>
          <w:szCs w:val="22"/>
        </w:rPr>
      </w:pPr>
    </w:p>
    <w:p w14:paraId="78443A1D" w14:textId="77777777" w:rsidR="00547B83" w:rsidRPr="0046218E" w:rsidRDefault="00594A9E" w:rsidP="00547B83">
      <w:pPr>
        <w:ind w:left="1440"/>
        <w:rPr>
          <w:sz w:val="22"/>
          <w:szCs w:val="22"/>
        </w:rPr>
      </w:pPr>
      <w:r w:rsidRPr="0046218E">
        <w:rPr>
          <w:sz w:val="22"/>
          <w:szCs w:val="22"/>
        </w:rPr>
        <w:t>Investment A</w:t>
      </w:r>
      <w:r w:rsidR="00547B83" w:rsidRPr="0046218E">
        <w:rPr>
          <w:sz w:val="22"/>
          <w:szCs w:val="22"/>
        </w:rPr>
        <w:t>gents must assume the following responsibilities:</w:t>
      </w:r>
    </w:p>
    <w:p w14:paraId="6C766916" w14:textId="77777777" w:rsidR="00547B83" w:rsidRPr="0046218E" w:rsidRDefault="00547B83" w:rsidP="00547B83">
      <w:pPr>
        <w:ind w:left="1440"/>
        <w:rPr>
          <w:sz w:val="22"/>
          <w:szCs w:val="22"/>
        </w:rPr>
      </w:pPr>
    </w:p>
    <w:p w14:paraId="15AA6941" w14:textId="77777777" w:rsidR="00755CEF" w:rsidRPr="0046218E" w:rsidRDefault="002F2F5E" w:rsidP="00755CEF">
      <w:pPr>
        <w:numPr>
          <w:ilvl w:val="2"/>
          <w:numId w:val="5"/>
        </w:numPr>
        <w:rPr>
          <w:sz w:val="22"/>
          <w:szCs w:val="22"/>
        </w:rPr>
      </w:pPr>
      <w:r w:rsidRPr="0046218E">
        <w:rPr>
          <w:sz w:val="22"/>
          <w:szCs w:val="22"/>
        </w:rPr>
        <w:t>To acknowledge in writing acceptance of the objectives, guidelines and performance benchmarks as defined in this Statement of Investment Objectives and Policies, and to invest the assets of the Foundation accordingly.</w:t>
      </w:r>
    </w:p>
    <w:p w14:paraId="4594AA9F" w14:textId="77777777" w:rsidR="00547B83" w:rsidRPr="0046218E" w:rsidRDefault="00547B83" w:rsidP="00547B83">
      <w:pPr>
        <w:ind w:left="1980"/>
        <w:rPr>
          <w:sz w:val="22"/>
          <w:szCs w:val="22"/>
        </w:rPr>
      </w:pPr>
    </w:p>
    <w:p w14:paraId="73625E97" w14:textId="77777777" w:rsidR="002F2F5E" w:rsidRPr="0046218E" w:rsidRDefault="002F2F5E" w:rsidP="00755CEF">
      <w:pPr>
        <w:numPr>
          <w:ilvl w:val="2"/>
          <w:numId w:val="5"/>
        </w:numPr>
        <w:rPr>
          <w:sz w:val="22"/>
          <w:szCs w:val="22"/>
        </w:rPr>
      </w:pPr>
      <w:r w:rsidRPr="0046218E">
        <w:rPr>
          <w:sz w:val="22"/>
          <w:szCs w:val="22"/>
        </w:rPr>
        <w:t>To exercise full discretionary authority for funds under management as to all buy, hold, and sell decisions for each security under management, subject to the guidelines as defined in this Statement.</w:t>
      </w:r>
    </w:p>
    <w:p w14:paraId="1FD3B5FA" w14:textId="77777777" w:rsidR="00547B83" w:rsidRPr="0046218E" w:rsidRDefault="00547B83" w:rsidP="00547B83">
      <w:pPr>
        <w:rPr>
          <w:sz w:val="22"/>
          <w:szCs w:val="22"/>
        </w:rPr>
      </w:pPr>
    </w:p>
    <w:p w14:paraId="17F8F9AF" w14:textId="77777777" w:rsidR="002F2F5E" w:rsidRPr="0046218E" w:rsidRDefault="002F2F5E" w:rsidP="00755CEF">
      <w:pPr>
        <w:numPr>
          <w:ilvl w:val="2"/>
          <w:numId w:val="5"/>
        </w:numPr>
        <w:rPr>
          <w:sz w:val="22"/>
          <w:szCs w:val="22"/>
        </w:rPr>
      </w:pPr>
      <w:r w:rsidRPr="0046218E">
        <w:rPr>
          <w:sz w:val="22"/>
          <w:szCs w:val="22"/>
        </w:rPr>
        <w:t>To rebalance the asset classes in the portfolio as deemed</w:t>
      </w:r>
      <w:r w:rsidR="00594A9E" w:rsidRPr="0046218E">
        <w:rPr>
          <w:sz w:val="22"/>
          <w:szCs w:val="22"/>
        </w:rPr>
        <w:t xml:space="preserve"> appropriate by the Investment A</w:t>
      </w:r>
      <w:r w:rsidRPr="0046218E">
        <w:rPr>
          <w:sz w:val="22"/>
          <w:szCs w:val="22"/>
        </w:rPr>
        <w:t>gent to comply with Board policy.</w:t>
      </w:r>
    </w:p>
    <w:p w14:paraId="458F7B73" w14:textId="77777777" w:rsidR="00547B83" w:rsidRPr="0046218E" w:rsidRDefault="00547B83" w:rsidP="00547B83">
      <w:pPr>
        <w:rPr>
          <w:sz w:val="22"/>
          <w:szCs w:val="22"/>
        </w:rPr>
      </w:pPr>
    </w:p>
    <w:p w14:paraId="2C7FD28E" w14:textId="77777777" w:rsidR="002F2F5E" w:rsidRPr="0046218E" w:rsidRDefault="002F2F5E" w:rsidP="00755CEF">
      <w:pPr>
        <w:numPr>
          <w:ilvl w:val="2"/>
          <w:numId w:val="5"/>
        </w:numPr>
        <w:rPr>
          <w:sz w:val="22"/>
          <w:szCs w:val="22"/>
        </w:rPr>
      </w:pPr>
      <w:r w:rsidRPr="0046218E">
        <w:rPr>
          <w:sz w:val="22"/>
          <w:szCs w:val="22"/>
        </w:rPr>
        <w:t>To recommend changes in this Statement based upon material and sustained changes to capital</w:t>
      </w:r>
      <w:r w:rsidR="00547B83" w:rsidRPr="0046218E">
        <w:rPr>
          <w:sz w:val="22"/>
          <w:szCs w:val="22"/>
        </w:rPr>
        <w:t xml:space="preserve"> markets.</w:t>
      </w:r>
    </w:p>
    <w:p w14:paraId="3EBD5B04" w14:textId="77777777" w:rsidR="00547B83" w:rsidRPr="0046218E" w:rsidRDefault="00547B83" w:rsidP="00547B83">
      <w:pPr>
        <w:rPr>
          <w:sz w:val="22"/>
          <w:szCs w:val="22"/>
        </w:rPr>
      </w:pPr>
    </w:p>
    <w:p w14:paraId="01598299" w14:textId="77777777" w:rsidR="002F2F5E" w:rsidRPr="0046218E" w:rsidRDefault="002F2F5E" w:rsidP="00755CEF">
      <w:pPr>
        <w:numPr>
          <w:ilvl w:val="2"/>
          <w:numId w:val="5"/>
        </w:numPr>
        <w:rPr>
          <w:sz w:val="22"/>
          <w:szCs w:val="22"/>
        </w:rPr>
      </w:pPr>
      <w:r w:rsidRPr="0046218E">
        <w:rPr>
          <w:sz w:val="22"/>
          <w:szCs w:val="22"/>
        </w:rPr>
        <w:t>To vote all permitted proxies.</w:t>
      </w:r>
    </w:p>
    <w:p w14:paraId="61F3C866" w14:textId="77777777" w:rsidR="00547B83" w:rsidRPr="0046218E" w:rsidRDefault="00547B83" w:rsidP="00547B83">
      <w:pPr>
        <w:rPr>
          <w:sz w:val="22"/>
          <w:szCs w:val="22"/>
        </w:rPr>
      </w:pPr>
    </w:p>
    <w:p w14:paraId="605BE053" w14:textId="77777777" w:rsidR="002F2F5E" w:rsidRPr="0046218E" w:rsidRDefault="002F2F5E" w:rsidP="00755CEF">
      <w:pPr>
        <w:numPr>
          <w:ilvl w:val="2"/>
          <w:numId w:val="5"/>
        </w:numPr>
        <w:rPr>
          <w:sz w:val="22"/>
          <w:szCs w:val="22"/>
        </w:rPr>
      </w:pPr>
      <w:r w:rsidRPr="0046218E">
        <w:rPr>
          <w:sz w:val="22"/>
          <w:szCs w:val="22"/>
        </w:rPr>
        <w:lastRenderedPageBreak/>
        <w:t>To utilize the share class with the lowest total expense ratio when using publicly traded mutual funds for any portfolio component and to avoid funds charging any form of “load.” Should 12 b-</w:t>
      </w:r>
      <w:r w:rsidR="005D7AEB" w:rsidRPr="0046218E">
        <w:rPr>
          <w:sz w:val="22"/>
          <w:szCs w:val="22"/>
        </w:rPr>
        <w:t>1</w:t>
      </w:r>
      <w:r w:rsidRPr="0046218E">
        <w:rPr>
          <w:sz w:val="22"/>
          <w:szCs w:val="22"/>
        </w:rPr>
        <w:t xml:space="preserve"> charges be i</w:t>
      </w:r>
      <w:r w:rsidR="00A457A7" w:rsidRPr="0046218E">
        <w:rPr>
          <w:sz w:val="22"/>
          <w:szCs w:val="22"/>
        </w:rPr>
        <w:t>ncurred the amount received by A</w:t>
      </w:r>
      <w:r w:rsidR="00594A9E" w:rsidRPr="0046218E">
        <w:rPr>
          <w:sz w:val="22"/>
          <w:szCs w:val="22"/>
        </w:rPr>
        <w:t>gent is to be credited against A</w:t>
      </w:r>
      <w:r w:rsidRPr="0046218E">
        <w:rPr>
          <w:sz w:val="22"/>
          <w:szCs w:val="22"/>
        </w:rPr>
        <w:t>gent’s fee charged to the Foundation.</w:t>
      </w:r>
    </w:p>
    <w:p w14:paraId="3FB9AB57" w14:textId="77777777" w:rsidR="000A732F" w:rsidRPr="0046218E" w:rsidRDefault="000A732F" w:rsidP="00547B83">
      <w:pPr>
        <w:rPr>
          <w:sz w:val="22"/>
          <w:szCs w:val="22"/>
        </w:rPr>
      </w:pPr>
    </w:p>
    <w:p w14:paraId="50EF049E" w14:textId="77777777" w:rsidR="00262AD0" w:rsidRPr="0046218E" w:rsidRDefault="00262AD0" w:rsidP="00547B83">
      <w:pPr>
        <w:rPr>
          <w:sz w:val="22"/>
          <w:szCs w:val="22"/>
        </w:rPr>
      </w:pPr>
    </w:p>
    <w:p w14:paraId="7C90FD55" w14:textId="77777777" w:rsidR="002F2F5E" w:rsidRPr="0046218E" w:rsidRDefault="002F2F5E" w:rsidP="002F2F5E">
      <w:pPr>
        <w:numPr>
          <w:ilvl w:val="1"/>
          <w:numId w:val="5"/>
        </w:numPr>
        <w:rPr>
          <w:sz w:val="22"/>
          <w:szCs w:val="22"/>
        </w:rPr>
      </w:pPr>
      <w:r w:rsidRPr="0046218E">
        <w:rPr>
          <w:sz w:val="22"/>
          <w:szCs w:val="22"/>
        </w:rPr>
        <w:t>REPORTING</w:t>
      </w:r>
    </w:p>
    <w:p w14:paraId="6153A136" w14:textId="77777777" w:rsidR="00343BCE" w:rsidRPr="0046218E" w:rsidRDefault="00343BCE" w:rsidP="00343BCE">
      <w:pPr>
        <w:rPr>
          <w:sz w:val="22"/>
          <w:szCs w:val="22"/>
        </w:rPr>
      </w:pPr>
    </w:p>
    <w:p w14:paraId="605C6DDB" w14:textId="77777777" w:rsidR="00343BCE" w:rsidRPr="0046218E" w:rsidRDefault="00343BCE" w:rsidP="00343BCE">
      <w:pPr>
        <w:ind w:left="1980"/>
        <w:rPr>
          <w:sz w:val="22"/>
          <w:szCs w:val="22"/>
        </w:rPr>
      </w:pPr>
      <w:r w:rsidRPr="0046218E">
        <w:rPr>
          <w:sz w:val="22"/>
          <w:szCs w:val="22"/>
        </w:rPr>
        <w:t>Soon after the end of each calendar quarter, each Investment Agent shall deliver to the Committee:</w:t>
      </w:r>
    </w:p>
    <w:p w14:paraId="54EF5136" w14:textId="77777777" w:rsidR="00147EA6" w:rsidRPr="0046218E" w:rsidRDefault="00147EA6" w:rsidP="00147EA6">
      <w:pPr>
        <w:ind w:left="1080"/>
        <w:rPr>
          <w:sz w:val="22"/>
          <w:szCs w:val="22"/>
        </w:rPr>
      </w:pPr>
    </w:p>
    <w:p w14:paraId="7C0B589C" w14:textId="77777777" w:rsidR="002F2F5E" w:rsidRPr="0046218E" w:rsidRDefault="00343BCE" w:rsidP="002F2F5E">
      <w:pPr>
        <w:numPr>
          <w:ilvl w:val="2"/>
          <w:numId w:val="5"/>
        </w:numPr>
        <w:rPr>
          <w:sz w:val="22"/>
          <w:szCs w:val="22"/>
        </w:rPr>
      </w:pPr>
      <w:r w:rsidRPr="0046218E">
        <w:rPr>
          <w:sz w:val="22"/>
          <w:szCs w:val="22"/>
        </w:rPr>
        <w:t>A</w:t>
      </w:r>
      <w:r w:rsidR="00A907FB" w:rsidRPr="0046218E">
        <w:rPr>
          <w:sz w:val="22"/>
          <w:szCs w:val="22"/>
        </w:rPr>
        <w:t xml:space="preserve"> statement displaying, at a minimum</w:t>
      </w:r>
      <w:r w:rsidRPr="0046218E">
        <w:rPr>
          <w:sz w:val="22"/>
          <w:szCs w:val="22"/>
        </w:rPr>
        <w:t xml:space="preserve">, the cost and </w:t>
      </w:r>
      <w:r w:rsidR="00A907FB" w:rsidRPr="0046218E">
        <w:rPr>
          <w:sz w:val="22"/>
          <w:szCs w:val="22"/>
        </w:rPr>
        <w:t>market value for each individual asset holding</w:t>
      </w:r>
      <w:r w:rsidRPr="0046218E">
        <w:rPr>
          <w:sz w:val="22"/>
          <w:szCs w:val="22"/>
        </w:rPr>
        <w:t xml:space="preserve"> and all transaction activity</w:t>
      </w:r>
      <w:r w:rsidR="00A907FB" w:rsidRPr="0046218E">
        <w:rPr>
          <w:sz w:val="22"/>
          <w:szCs w:val="22"/>
        </w:rPr>
        <w:t>.</w:t>
      </w:r>
    </w:p>
    <w:p w14:paraId="5A534A43" w14:textId="77777777" w:rsidR="00343BCE" w:rsidRPr="0046218E" w:rsidRDefault="00343BCE" w:rsidP="00343BCE">
      <w:pPr>
        <w:ind w:left="1980"/>
        <w:rPr>
          <w:sz w:val="22"/>
          <w:szCs w:val="22"/>
        </w:rPr>
      </w:pPr>
    </w:p>
    <w:p w14:paraId="4854D444" w14:textId="77777777" w:rsidR="00343BCE" w:rsidRPr="0046218E" w:rsidRDefault="00343BCE" w:rsidP="00343BCE">
      <w:pPr>
        <w:numPr>
          <w:ilvl w:val="2"/>
          <w:numId w:val="5"/>
        </w:numPr>
        <w:rPr>
          <w:sz w:val="22"/>
          <w:szCs w:val="22"/>
        </w:rPr>
      </w:pPr>
      <w:r w:rsidRPr="0046218E">
        <w:rPr>
          <w:sz w:val="22"/>
          <w:szCs w:val="22"/>
        </w:rPr>
        <w:t>A report showing the broad asset allocation of the portfolio within the three major categories: Global Equities, Fixed Income and Discretionary.  In addition, a report such as that available through Morningstar, which shows asset types as well as geographic, capitalization sizes and industry allocation.</w:t>
      </w:r>
    </w:p>
    <w:p w14:paraId="79600C11" w14:textId="77777777" w:rsidR="00147EA6" w:rsidRPr="0046218E" w:rsidRDefault="00147EA6" w:rsidP="00147EA6">
      <w:pPr>
        <w:ind w:left="1980"/>
        <w:rPr>
          <w:sz w:val="22"/>
          <w:szCs w:val="22"/>
        </w:rPr>
      </w:pPr>
    </w:p>
    <w:p w14:paraId="74BBE06F" w14:textId="77777777" w:rsidR="00A907FB" w:rsidRPr="0046218E" w:rsidRDefault="00343BCE" w:rsidP="002F2F5E">
      <w:pPr>
        <w:numPr>
          <w:ilvl w:val="2"/>
          <w:numId w:val="5"/>
        </w:numPr>
        <w:rPr>
          <w:sz w:val="22"/>
          <w:szCs w:val="22"/>
        </w:rPr>
      </w:pPr>
      <w:r w:rsidRPr="0046218E">
        <w:rPr>
          <w:sz w:val="22"/>
          <w:szCs w:val="22"/>
        </w:rPr>
        <w:t xml:space="preserve">A report showing the overall </w:t>
      </w:r>
      <w:r w:rsidR="00A907FB" w:rsidRPr="0046218E">
        <w:rPr>
          <w:sz w:val="22"/>
          <w:szCs w:val="22"/>
        </w:rPr>
        <w:t>time-w</w:t>
      </w:r>
      <w:r w:rsidR="00594A9E" w:rsidRPr="0046218E">
        <w:rPr>
          <w:sz w:val="22"/>
          <w:szCs w:val="22"/>
        </w:rPr>
        <w:t>eighted rates of return</w:t>
      </w:r>
      <w:r w:rsidRPr="0046218E">
        <w:rPr>
          <w:sz w:val="22"/>
          <w:szCs w:val="22"/>
        </w:rPr>
        <w:t>,</w:t>
      </w:r>
      <w:r w:rsidR="00594A9E" w:rsidRPr="0046218E">
        <w:rPr>
          <w:sz w:val="22"/>
          <w:szCs w:val="22"/>
        </w:rPr>
        <w:t xml:space="preserve"> net of A</w:t>
      </w:r>
      <w:r w:rsidR="00A907FB" w:rsidRPr="0046218E">
        <w:rPr>
          <w:sz w:val="22"/>
          <w:szCs w:val="22"/>
        </w:rPr>
        <w:t>gent’s fees</w:t>
      </w:r>
      <w:r w:rsidRPr="0046218E">
        <w:rPr>
          <w:sz w:val="22"/>
          <w:szCs w:val="22"/>
        </w:rPr>
        <w:t>,</w:t>
      </w:r>
      <w:r w:rsidR="00A907FB" w:rsidRPr="0046218E">
        <w:rPr>
          <w:sz w:val="22"/>
          <w:szCs w:val="22"/>
        </w:rPr>
        <w:t xml:space="preserve"> for the lates</w:t>
      </w:r>
      <w:r w:rsidR="00147EA6" w:rsidRPr="0046218E">
        <w:rPr>
          <w:sz w:val="22"/>
          <w:szCs w:val="22"/>
        </w:rPr>
        <w:t>t quarter.</w:t>
      </w:r>
      <w:r w:rsidRPr="0046218E">
        <w:rPr>
          <w:sz w:val="22"/>
          <w:szCs w:val="22"/>
        </w:rPr>
        <w:t xml:space="preserve">  </w:t>
      </w:r>
      <w:r w:rsidR="00A907FB" w:rsidRPr="0046218E">
        <w:rPr>
          <w:sz w:val="22"/>
          <w:szCs w:val="22"/>
        </w:rPr>
        <w:t>Time-weighted rate-of-return performance measures allow comparisons to recognizable indices. This method corrects for the biases stemming from additions to and withdrawals from investments.</w:t>
      </w:r>
    </w:p>
    <w:p w14:paraId="669DF0B1" w14:textId="77777777" w:rsidR="00343BCE" w:rsidRPr="0046218E" w:rsidRDefault="00343BCE" w:rsidP="00343BCE">
      <w:pPr>
        <w:rPr>
          <w:sz w:val="22"/>
          <w:szCs w:val="22"/>
        </w:rPr>
      </w:pPr>
    </w:p>
    <w:p w14:paraId="5427A592" w14:textId="77777777" w:rsidR="00343BCE" w:rsidRPr="0046218E" w:rsidRDefault="00343BCE" w:rsidP="00343BCE">
      <w:pPr>
        <w:ind w:left="2160"/>
        <w:rPr>
          <w:sz w:val="22"/>
          <w:szCs w:val="22"/>
        </w:rPr>
      </w:pPr>
      <w:r w:rsidRPr="0046218E">
        <w:rPr>
          <w:sz w:val="22"/>
          <w:szCs w:val="22"/>
        </w:rPr>
        <w:t>In addition, any performance comparisons by broad asset class would be helpful but are not required.</w:t>
      </w:r>
    </w:p>
    <w:p w14:paraId="1007A1C4" w14:textId="77777777" w:rsidR="00343BCE" w:rsidRPr="0046218E" w:rsidRDefault="00343BCE" w:rsidP="00343BCE">
      <w:pPr>
        <w:ind w:left="2160"/>
        <w:rPr>
          <w:sz w:val="22"/>
          <w:szCs w:val="22"/>
        </w:rPr>
      </w:pPr>
    </w:p>
    <w:p w14:paraId="0FD599DF" w14:textId="77777777" w:rsidR="00343BCE" w:rsidRPr="0046218E" w:rsidRDefault="00343BCE" w:rsidP="00343BCE">
      <w:pPr>
        <w:ind w:left="2160"/>
        <w:rPr>
          <w:sz w:val="22"/>
          <w:szCs w:val="22"/>
        </w:rPr>
      </w:pPr>
      <w:r w:rsidRPr="0046218E">
        <w:rPr>
          <w:sz w:val="22"/>
          <w:szCs w:val="22"/>
        </w:rPr>
        <w:t xml:space="preserve">Return calculations should employ </w:t>
      </w:r>
      <w:r w:rsidR="00A4705D" w:rsidRPr="006F42A4">
        <w:rPr>
          <w:sz w:val="22"/>
          <w:szCs w:val="22"/>
        </w:rPr>
        <w:t xml:space="preserve">CFA Institute </w:t>
      </w:r>
      <w:r w:rsidRPr="006F42A4">
        <w:rPr>
          <w:sz w:val="22"/>
          <w:szCs w:val="22"/>
        </w:rPr>
        <w:t>standards</w:t>
      </w:r>
      <w:r w:rsidRPr="0046218E">
        <w:rPr>
          <w:sz w:val="22"/>
          <w:szCs w:val="22"/>
        </w:rPr>
        <w:t>.</w:t>
      </w:r>
    </w:p>
    <w:p w14:paraId="107CC64C" w14:textId="77777777" w:rsidR="00147EA6" w:rsidRPr="0046218E" w:rsidRDefault="00147EA6" w:rsidP="00147EA6">
      <w:pPr>
        <w:rPr>
          <w:sz w:val="22"/>
          <w:szCs w:val="22"/>
        </w:rPr>
      </w:pPr>
    </w:p>
    <w:p w14:paraId="1DD013A0" w14:textId="77777777" w:rsidR="00343BCE" w:rsidRPr="0046218E" w:rsidRDefault="00343BCE" w:rsidP="002F2F5E">
      <w:pPr>
        <w:numPr>
          <w:ilvl w:val="2"/>
          <w:numId w:val="5"/>
        </w:numPr>
        <w:rPr>
          <w:sz w:val="22"/>
          <w:szCs w:val="22"/>
        </w:rPr>
      </w:pPr>
      <w:r w:rsidRPr="0046218E">
        <w:rPr>
          <w:sz w:val="22"/>
          <w:szCs w:val="22"/>
        </w:rPr>
        <w:t>A written discussion or commentary highlighti</w:t>
      </w:r>
      <w:r w:rsidR="00A907FB" w:rsidRPr="0046218E">
        <w:rPr>
          <w:sz w:val="22"/>
          <w:szCs w:val="22"/>
        </w:rPr>
        <w:t>ng the just ended quarter</w:t>
      </w:r>
      <w:r w:rsidRPr="0046218E">
        <w:rPr>
          <w:sz w:val="22"/>
          <w:szCs w:val="22"/>
        </w:rPr>
        <w:t>’s</w:t>
      </w:r>
      <w:r w:rsidR="00A907FB" w:rsidRPr="0046218E">
        <w:rPr>
          <w:sz w:val="22"/>
          <w:szCs w:val="22"/>
        </w:rPr>
        <w:t xml:space="preserve"> performance as well as any tactical investment strategy expectations for the coming quarter. The report need not be more than a few paragraphs in length</w:t>
      </w:r>
      <w:r w:rsidRPr="0046218E">
        <w:rPr>
          <w:sz w:val="22"/>
          <w:szCs w:val="22"/>
        </w:rPr>
        <w:t>.</w:t>
      </w:r>
    </w:p>
    <w:p w14:paraId="528D9593" w14:textId="77777777" w:rsidR="00343BCE" w:rsidRPr="0046218E" w:rsidRDefault="00343BCE" w:rsidP="00343BCE">
      <w:pPr>
        <w:ind w:left="1980"/>
        <w:rPr>
          <w:sz w:val="22"/>
          <w:szCs w:val="22"/>
        </w:rPr>
      </w:pPr>
    </w:p>
    <w:p w14:paraId="1CB007F0" w14:textId="77777777" w:rsidR="00A907FB" w:rsidRPr="0046218E" w:rsidRDefault="002E07B8" w:rsidP="002F2F5E">
      <w:pPr>
        <w:numPr>
          <w:ilvl w:val="2"/>
          <w:numId w:val="5"/>
        </w:numPr>
        <w:rPr>
          <w:sz w:val="22"/>
          <w:szCs w:val="22"/>
        </w:rPr>
      </w:pPr>
      <w:r w:rsidRPr="0046218E">
        <w:rPr>
          <w:sz w:val="22"/>
          <w:szCs w:val="22"/>
        </w:rPr>
        <w:t>An acknowledgement of any violations to the guidelines in this Statement.</w:t>
      </w:r>
    </w:p>
    <w:p w14:paraId="282D4C5E" w14:textId="77777777" w:rsidR="00343BCE" w:rsidRPr="0046218E" w:rsidRDefault="00343BCE" w:rsidP="00343BCE">
      <w:pPr>
        <w:rPr>
          <w:sz w:val="22"/>
          <w:szCs w:val="22"/>
        </w:rPr>
      </w:pPr>
    </w:p>
    <w:p w14:paraId="6CD7853E" w14:textId="77777777" w:rsidR="00147EA6" w:rsidRPr="0046218E" w:rsidRDefault="00147EA6" w:rsidP="00147EA6">
      <w:pPr>
        <w:rPr>
          <w:sz w:val="22"/>
          <w:szCs w:val="22"/>
        </w:rPr>
      </w:pPr>
    </w:p>
    <w:p w14:paraId="231F8639" w14:textId="77777777" w:rsidR="00A907FB" w:rsidRPr="0046218E" w:rsidRDefault="00A907FB" w:rsidP="00A907FB">
      <w:pPr>
        <w:numPr>
          <w:ilvl w:val="1"/>
          <w:numId w:val="5"/>
        </w:numPr>
        <w:rPr>
          <w:sz w:val="22"/>
          <w:szCs w:val="22"/>
        </w:rPr>
      </w:pPr>
      <w:r w:rsidRPr="0046218E">
        <w:rPr>
          <w:sz w:val="22"/>
          <w:szCs w:val="22"/>
        </w:rPr>
        <w:t>REVIEW MEETINGS</w:t>
      </w:r>
    </w:p>
    <w:p w14:paraId="0B6D055D" w14:textId="77777777" w:rsidR="00147EA6" w:rsidRPr="0046218E" w:rsidRDefault="00147EA6" w:rsidP="00147EA6">
      <w:pPr>
        <w:ind w:left="1440"/>
        <w:rPr>
          <w:sz w:val="22"/>
          <w:szCs w:val="22"/>
        </w:rPr>
      </w:pPr>
    </w:p>
    <w:p w14:paraId="70736D4A" w14:textId="77777777" w:rsidR="00147EA6" w:rsidRPr="0046218E" w:rsidRDefault="00147EA6" w:rsidP="00147EA6">
      <w:pPr>
        <w:ind w:left="1440"/>
        <w:rPr>
          <w:sz w:val="22"/>
          <w:szCs w:val="22"/>
        </w:rPr>
      </w:pPr>
      <w:r w:rsidRPr="0046218E">
        <w:rPr>
          <w:sz w:val="22"/>
          <w:szCs w:val="22"/>
        </w:rPr>
        <w:t>At the request</w:t>
      </w:r>
      <w:r w:rsidR="00B274FF" w:rsidRPr="0046218E">
        <w:rPr>
          <w:sz w:val="22"/>
          <w:szCs w:val="22"/>
        </w:rPr>
        <w:t xml:space="preserve"> of the Committee, each I</w:t>
      </w:r>
      <w:r w:rsidRPr="0046218E">
        <w:rPr>
          <w:sz w:val="22"/>
          <w:szCs w:val="22"/>
        </w:rPr>
        <w:t xml:space="preserve">nvestment </w:t>
      </w:r>
      <w:r w:rsidR="00B274FF" w:rsidRPr="0046218E">
        <w:rPr>
          <w:sz w:val="22"/>
          <w:szCs w:val="22"/>
        </w:rPr>
        <w:t>A</w:t>
      </w:r>
      <w:r w:rsidRPr="0046218E">
        <w:rPr>
          <w:sz w:val="22"/>
          <w:szCs w:val="22"/>
        </w:rPr>
        <w:t>gent will participate in an annual review meeting with the Committee or its representative(s), the agenda to include:</w:t>
      </w:r>
    </w:p>
    <w:p w14:paraId="1734AC0B" w14:textId="77777777" w:rsidR="00147EA6" w:rsidRPr="0046218E" w:rsidRDefault="00147EA6" w:rsidP="00147EA6">
      <w:pPr>
        <w:ind w:left="1440"/>
        <w:rPr>
          <w:sz w:val="22"/>
          <w:szCs w:val="22"/>
        </w:rPr>
      </w:pPr>
    </w:p>
    <w:p w14:paraId="5AB8D4B9" w14:textId="77777777" w:rsidR="00147EA6" w:rsidRPr="0046218E" w:rsidRDefault="00147EA6" w:rsidP="00A907FB">
      <w:pPr>
        <w:numPr>
          <w:ilvl w:val="2"/>
          <w:numId w:val="5"/>
        </w:numPr>
        <w:rPr>
          <w:sz w:val="22"/>
          <w:szCs w:val="22"/>
        </w:rPr>
      </w:pPr>
      <w:r w:rsidRPr="0046218E">
        <w:rPr>
          <w:sz w:val="22"/>
          <w:szCs w:val="22"/>
        </w:rPr>
        <w:t>A review and appraisal of the investment program.</w:t>
      </w:r>
    </w:p>
    <w:p w14:paraId="7FC595EB" w14:textId="77777777" w:rsidR="00147EA6" w:rsidRPr="0046218E" w:rsidRDefault="00147EA6" w:rsidP="00147EA6">
      <w:pPr>
        <w:ind w:left="1980"/>
        <w:rPr>
          <w:sz w:val="22"/>
          <w:szCs w:val="22"/>
        </w:rPr>
      </w:pPr>
    </w:p>
    <w:p w14:paraId="5A155AF8" w14:textId="77777777" w:rsidR="00A907FB" w:rsidRPr="0046218E" w:rsidRDefault="00A907FB" w:rsidP="00A907FB">
      <w:pPr>
        <w:numPr>
          <w:ilvl w:val="2"/>
          <w:numId w:val="5"/>
        </w:numPr>
        <w:rPr>
          <w:sz w:val="22"/>
          <w:szCs w:val="22"/>
        </w:rPr>
      </w:pPr>
      <w:r w:rsidRPr="0046218E">
        <w:rPr>
          <w:sz w:val="22"/>
          <w:szCs w:val="22"/>
        </w:rPr>
        <w:t>A commentary on the investment results in light of the appropriate standards of performance.</w:t>
      </w:r>
    </w:p>
    <w:p w14:paraId="004FCD04" w14:textId="77777777" w:rsidR="00A907FB" w:rsidRPr="0046218E" w:rsidRDefault="00A907FB" w:rsidP="00A907FB">
      <w:pPr>
        <w:numPr>
          <w:ilvl w:val="2"/>
          <w:numId w:val="5"/>
        </w:numPr>
        <w:rPr>
          <w:sz w:val="22"/>
          <w:szCs w:val="22"/>
        </w:rPr>
      </w:pPr>
      <w:r w:rsidRPr="0046218E">
        <w:rPr>
          <w:sz w:val="22"/>
          <w:szCs w:val="22"/>
        </w:rPr>
        <w:t xml:space="preserve">A synopsis of the key investment decisions made by the Agent, the underlying rationale, and how </w:t>
      </w:r>
      <w:r w:rsidR="002A670F" w:rsidRPr="0046218E">
        <w:rPr>
          <w:sz w:val="22"/>
          <w:szCs w:val="22"/>
        </w:rPr>
        <w:t>those decisions could affect future results.</w:t>
      </w:r>
    </w:p>
    <w:p w14:paraId="1078BBAB" w14:textId="77777777" w:rsidR="00147EA6" w:rsidRPr="0046218E" w:rsidRDefault="00147EA6" w:rsidP="00147EA6">
      <w:pPr>
        <w:rPr>
          <w:sz w:val="22"/>
          <w:szCs w:val="22"/>
        </w:rPr>
      </w:pPr>
    </w:p>
    <w:p w14:paraId="02C43EDB" w14:textId="77777777" w:rsidR="002A670F" w:rsidRPr="0046218E" w:rsidRDefault="002A670F" w:rsidP="00A907FB">
      <w:pPr>
        <w:numPr>
          <w:ilvl w:val="2"/>
          <w:numId w:val="5"/>
        </w:numPr>
        <w:rPr>
          <w:sz w:val="22"/>
          <w:szCs w:val="22"/>
        </w:rPr>
      </w:pPr>
      <w:r w:rsidRPr="0046218E">
        <w:rPr>
          <w:sz w:val="22"/>
          <w:szCs w:val="22"/>
        </w:rPr>
        <w:t>A discussion of the Agent’s outlook, what specific investment decisions this outlook may trigger and how these decisions could affect future results.</w:t>
      </w:r>
    </w:p>
    <w:p w14:paraId="3DAC0E17" w14:textId="77777777" w:rsidR="005D208D" w:rsidRPr="0046218E" w:rsidRDefault="005D208D" w:rsidP="00147EA6">
      <w:pPr>
        <w:rPr>
          <w:sz w:val="22"/>
          <w:szCs w:val="22"/>
        </w:rPr>
      </w:pPr>
    </w:p>
    <w:p w14:paraId="0CA54CAD" w14:textId="77777777" w:rsidR="002A670F" w:rsidRPr="0046218E" w:rsidRDefault="002A670F" w:rsidP="002A670F">
      <w:pPr>
        <w:numPr>
          <w:ilvl w:val="1"/>
          <w:numId w:val="5"/>
        </w:numPr>
        <w:rPr>
          <w:sz w:val="22"/>
          <w:szCs w:val="22"/>
        </w:rPr>
      </w:pPr>
      <w:r w:rsidRPr="0046218E">
        <w:rPr>
          <w:sz w:val="22"/>
          <w:szCs w:val="22"/>
        </w:rPr>
        <w:t>COMMUNICATION</w:t>
      </w:r>
    </w:p>
    <w:p w14:paraId="3C7B4E02" w14:textId="77777777" w:rsidR="00A7766C" w:rsidRPr="0046218E" w:rsidRDefault="00A7766C" w:rsidP="00A7766C">
      <w:pPr>
        <w:ind w:left="1440"/>
        <w:rPr>
          <w:sz w:val="22"/>
          <w:szCs w:val="22"/>
        </w:rPr>
      </w:pPr>
    </w:p>
    <w:p w14:paraId="616C6F4D" w14:textId="77777777" w:rsidR="00A7766C" w:rsidRPr="0046218E" w:rsidRDefault="00A7766C" w:rsidP="00A7766C">
      <w:pPr>
        <w:ind w:left="1440"/>
        <w:rPr>
          <w:sz w:val="22"/>
          <w:szCs w:val="22"/>
        </w:rPr>
      </w:pPr>
      <w:r w:rsidRPr="0046218E">
        <w:rPr>
          <w:sz w:val="22"/>
          <w:szCs w:val="22"/>
        </w:rPr>
        <w:t>Each Investment Agent is responsible for maintaining communication with a designee of the Committee on all material matters pertaining to investment policies and the management of the Foundation’s assets. In particular, each Investment Agent will:</w:t>
      </w:r>
    </w:p>
    <w:p w14:paraId="17F6CF3E" w14:textId="77777777" w:rsidR="00A7766C" w:rsidRPr="0046218E" w:rsidRDefault="00A7766C" w:rsidP="00A7766C">
      <w:pPr>
        <w:ind w:left="1440"/>
        <w:rPr>
          <w:sz w:val="22"/>
          <w:szCs w:val="22"/>
        </w:rPr>
      </w:pPr>
    </w:p>
    <w:p w14:paraId="72793112" w14:textId="77777777" w:rsidR="002A670F" w:rsidRPr="0046218E" w:rsidRDefault="002A670F" w:rsidP="002A670F">
      <w:pPr>
        <w:numPr>
          <w:ilvl w:val="2"/>
          <w:numId w:val="5"/>
        </w:numPr>
        <w:rPr>
          <w:sz w:val="22"/>
          <w:szCs w:val="22"/>
        </w:rPr>
      </w:pPr>
      <w:r w:rsidRPr="0046218E">
        <w:rPr>
          <w:sz w:val="22"/>
          <w:szCs w:val="22"/>
        </w:rPr>
        <w:t>Provide timely notice of any material changes in its investment outlook, strategy and portfolio structure.</w:t>
      </w:r>
    </w:p>
    <w:p w14:paraId="2E5C7E8B" w14:textId="77777777" w:rsidR="00A7766C" w:rsidRPr="0046218E" w:rsidRDefault="00A7766C" w:rsidP="00A7766C">
      <w:pPr>
        <w:ind w:left="1980"/>
        <w:rPr>
          <w:sz w:val="22"/>
          <w:szCs w:val="22"/>
        </w:rPr>
      </w:pPr>
    </w:p>
    <w:p w14:paraId="2D6F6FD7" w14:textId="77777777" w:rsidR="002A670F" w:rsidRPr="0046218E" w:rsidRDefault="002A670F" w:rsidP="002A670F">
      <w:pPr>
        <w:numPr>
          <w:ilvl w:val="2"/>
          <w:numId w:val="5"/>
        </w:numPr>
        <w:rPr>
          <w:sz w:val="22"/>
          <w:szCs w:val="22"/>
        </w:rPr>
      </w:pPr>
      <w:r w:rsidRPr="0046218E">
        <w:rPr>
          <w:sz w:val="22"/>
          <w:szCs w:val="22"/>
        </w:rPr>
        <w:t>Provide timely notice of material changes in its firm ownership</w:t>
      </w:r>
      <w:r w:rsidR="00E10898" w:rsidRPr="0046218E">
        <w:rPr>
          <w:sz w:val="22"/>
          <w:szCs w:val="22"/>
        </w:rPr>
        <w:t>,</w:t>
      </w:r>
      <w:r w:rsidRPr="0046218E">
        <w:rPr>
          <w:sz w:val="22"/>
          <w:szCs w:val="22"/>
        </w:rPr>
        <w:t xml:space="preserve"> organizational structure, financial condition, senior staffing and management that could substanti</w:t>
      </w:r>
      <w:r w:rsidR="00B274FF" w:rsidRPr="0046218E">
        <w:rPr>
          <w:sz w:val="22"/>
          <w:szCs w:val="22"/>
        </w:rPr>
        <w:t>ally affect the ability of the A</w:t>
      </w:r>
      <w:r w:rsidRPr="0046218E">
        <w:rPr>
          <w:sz w:val="22"/>
          <w:szCs w:val="22"/>
        </w:rPr>
        <w:t>gent to manage the assets of the Foundation, where permissible by law.</w:t>
      </w:r>
    </w:p>
    <w:p w14:paraId="272260AD" w14:textId="77777777" w:rsidR="00A7766C" w:rsidRPr="0046218E" w:rsidRDefault="00A7766C" w:rsidP="00A7766C">
      <w:pPr>
        <w:rPr>
          <w:sz w:val="22"/>
          <w:szCs w:val="22"/>
        </w:rPr>
      </w:pPr>
    </w:p>
    <w:p w14:paraId="6CE390F4" w14:textId="77777777" w:rsidR="002A670F" w:rsidRPr="0046218E" w:rsidRDefault="002A670F" w:rsidP="002A670F">
      <w:pPr>
        <w:numPr>
          <w:ilvl w:val="2"/>
          <w:numId w:val="5"/>
        </w:numPr>
        <w:rPr>
          <w:sz w:val="22"/>
          <w:szCs w:val="22"/>
        </w:rPr>
      </w:pPr>
      <w:r w:rsidRPr="0046218E">
        <w:rPr>
          <w:sz w:val="22"/>
          <w:szCs w:val="22"/>
        </w:rPr>
        <w:t>Provide timely notice of involvement in any litigation or regulatory investigation relating to the organization’s investment activities that could substanti</w:t>
      </w:r>
      <w:r w:rsidR="00B274FF" w:rsidRPr="0046218E">
        <w:rPr>
          <w:sz w:val="22"/>
          <w:szCs w:val="22"/>
        </w:rPr>
        <w:t>ally affect the ability of the A</w:t>
      </w:r>
      <w:r w:rsidRPr="0046218E">
        <w:rPr>
          <w:sz w:val="22"/>
          <w:szCs w:val="22"/>
        </w:rPr>
        <w:t>gent to manage the assets of the Foundation.</w:t>
      </w:r>
    </w:p>
    <w:p w14:paraId="713CE51C" w14:textId="77777777" w:rsidR="00C47FD7" w:rsidRPr="0046218E" w:rsidRDefault="00C47FD7" w:rsidP="00C47FD7">
      <w:pPr>
        <w:rPr>
          <w:sz w:val="22"/>
          <w:szCs w:val="22"/>
        </w:rPr>
      </w:pPr>
    </w:p>
    <w:p w14:paraId="482E68C5" w14:textId="77777777" w:rsidR="00A7766C" w:rsidRPr="0046218E" w:rsidRDefault="00A7766C" w:rsidP="00A7766C">
      <w:pPr>
        <w:rPr>
          <w:sz w:val="22"/>
          <w:szCs w:val="22"/>
        </w:rPr>
      </w:pPr>
    </w:p>
    <w:p w14:paraId="37762250" w14:textId="77777777" w:rsidR="002A670F" w:rsidRPr="0046218E" w:rsidRDefault="002A670F" w:rsidP="002A670F">
      <w:pPr>
        <w:numPr>
          <w:ilvl w:val="0"/>
          <w:numId w:val="5"/>
        </w:numPr>
        <w:rPr>
          <w:b/>
          <w:sz w:val="22"/>
          <w:szCs w:val="22"/>
        </w:rPr>
      </w:pPr>
      <w:r w:rsidRPr="0046218E">
        <w:rPr>
          <w:b/>
          <w:sz w:val="22"/>
          <w:szCs w:val="22"/>
        </w:rPr>
        <w:t>REVIEW PROCESS FOR INVESTMENTS</w:t>
      </w:r>
    </w:p>
    <w:p w14:paraId="4A0F1B3F" w14:textId="77777777" w:rsidR="00A7766C" w:rsidRPr="0046218E" w:rsidRDefault="00A7766C" w:rsidP="00A7766C">
      <w:pPr>
        <w:ind w:left="720"/>
        <w:rPr>
          <w:sz w:val="22"/>
          <w:szCs w:val="22"/>
        </w:rPr>
      </w:pPr>
    </w:p>
    <w:p w14:paraId="409524F7" w14:textId="77777777" w:rsidR="00A7766C" w:rsidRDefault="00A7766C" w:rsidP="00A7766C">
      <w:pPr>
        <w:ind w:left="720"/>
        <w:rPr>
          <w:sz w:val="22"/>
          <w:szCs w:val="22"/>
        </w:rPr>
      </w:pPr>
      <w:r w:rsidRPr="0046218E">
        <w:rPr>
          <w:sz w:val="22"/>
          <w:szCs w:val="22"/>
        </w:rPr>
        <w:t>Investment performance review of all portfolios will be conducted quarterly to ascertain progress against the objectives of the Foundation. The quarterly reports should cover three basic areas:</w:t>
      </w:r>
    </w:p>
    <w:p w14:paraId="34B7F2D8" w14:textId="77777777" w:rsidR="0046218E" w:rsidRPr="0046218E" w:rsidRDefault="0046218E" w:rsidP="00A7766C">
      <w:pPr>
        <w:ind w:left="720"/>
        <w:rPr>
          <w:sz w:val="16"/>
          <w:szCs w:val="16"/>
        </w:rPr>
      </w:pPr>
    </w:p>
    <w:p w14:paraId="0FEC1D84" w14:textId="77777777" w:rsidR="00A7766C" w:rsidRPr="0046218E" w:rsidRDefault="009A091B" w:rsidP="00A7766C">
      <w:pPr>
        <w:numPr>
          <w:ilvl w:val="0"/>
          <w:numId w:val="6"/>
        </w:numPr>
        <w:rPr>
          <w:sz w:val="22"/>
          <w:szCs w:val="22"/>
        </w:rPr>
      </w:pPr>
      <w:r w:rsidRPr="0046218E">
        <w:rPr>
          <w:sz w:val="22"/>
          <w:szCs w:val="22"/>
        </w:rPr>
        <w:t>r</w:t>
      </w:r>
      <w:r w:rsidR="00B274FF" w:rsidRPr="0046218E">
        <w:rPr>
          <w:sz w:val="22"/>
          <w:szCs w:val="22"/>
        </w:rPr>
        <w:t>eturns</w:t>
      </w:r>
      <w:r w:rsidR="00A7766C" w:rsidRPr="0046218E">
        <w:rPr>
          <w:sz w:val="22"/>
          <w:szCs w:val="22"/>
        </w:rPr>
        <w:t>,</w:t>
      </w:r>
    </w:p>
    <w:p w14:paraId="70350AA5" w14:textId="77777777" w:rsidR="00A7766C" w:rsidRPr="0046218E" w:rsidRDefault="009A091B" w:rsidP="00A7766C">
      <w:pPr>
        <w:numPr>
          <w:ilvl w:val="0"/>
          <w:numId w:val="6"/>
        </w:numPr>
        <w:rPr>
          <w:sz w:val="22"/>
          <w:szCs w:val="22"/>
        </w:rPr>
      </w:pPr>
      <w:r w:rsidRPr="0046218E">
        <w:rPr>
          <w:sz w:val="22"/>
          <w:szCs w:val="22"/>
        </w:rPr>
        <w:t>c</w:t>
      </w:r>
      <w:r w:rsidR="00A7766C" w:rsidRPr="0046218E">
        <w:rPr>
          <w:sz w:val="22"/>
          <w:szCs w:val="22"/>
        </w:rPr>
        <w:t>omparison of returns to benchmarks and a peer group of similar portfolios,</w:t>
      </w:r>
    </w:p>
    <w:p w14:paraId="3DE656E6" w14:textId="77777777" w:rsidR="00A7766C" w:rsidRDefault="009A091B" w:rsidP="00A7766C">
      <w:pPr>
        <w:numPr>
          <w:ilvl w:val="0"/>
          <w:numId w:val="6"/>
        </w:numPr>
        <w:rPr>
          <w:sz w:val="22"/>
          <w:szCs w:val="22"/>
        </w:rPr>
      </w:pPr>
      <w:r w:rsidRPr="0046218E">
        <w:rPr>
          <w:sz w:val="22"/>
          <w:szCs w:val="22"/>
        </w:rPr>
        <w:t>c</w:t>
      </w:r>
      <w:r w:rsidR="00A7766C" w:rsidRPr="0046218E">
        <w:rPr>
          <w:sz w:val="22"/>
          <w:szCs w:val="22"/>
        </w:rPr>
        <w:t>ompliance with relevant policies and objectives.</w:t>
      </w:r>
    </w:p>
    <w:p w14:paraId="48A0923E" w14:textId="77777777" w:rsidR="0046218E" w:rsidRPr="0046218E" w:rsidRDefault="0046218E" w:rsidP="0046218E">
      <w:pPr>
        <w:ind w:left="1440"/>
        <w:rPr>
          <w:sz w:val="16"/>
          <w:szCs w:val="16"/>
        </w:rPr>
      </w:pPr>
    </w:p>
    <w:p w14:paraId="53172273" w14:textId="77777777" w:rsidR="003E7D30" w:rsidRPr="0046218E" w:rsidRDefault="00A7766C" w:rsidP="00A7766C">
      <w:pPr>
        <w:ind w:left="720"/>
        <w:rPr>
          <w:sz w:val="22"/>
          <w:szCs w:val="22"/>
        </w:rPr>
      </w:pPr>
      <w:r w:rsidRPr="0046218E">
        <w:rPr>
          <w:sz w:val="22"/>
          <w:szCs w:val="22"/>
        </w:rPr>
        <w:t xml:space="preserve">Beyond these customary reviews, certain circumstances or events, as outlined below, will trigger automatic formal reviews and where appropriate, reconsideration by the Investment Committee of the appropriateness of </w:t>
      </w:r>
      <w:r w:rsidR="00594A9E" w:rsidRPr="0046218E">
        <w:rPr>
          <w:sz w:val="22"/>
          <w:szCs w:val="22"/>
        </w:rPr>
        <w:t>continuing to use the affected A</w:t>
      </w:r>
      <w:r w:rsidRPr="0046218E">
        <w:rPr>
          <w:sz w:val="22"/>
          <w:szCs w:val="22"/>
        </w:rPr>
        <w:t>gent. None of these circumstances or events shall serve a</w:t>
      </w:r>
      <w:r w:rsidR="00B274FF" w:rsidRPr="0046218E">
        <w:rPr>
          <w:sz w:val="22"/>
          <w:szCs w:val="22"/>
        </w:rPr>
        <w:t>s automatic cause for changing Investment A</w:t>
      </w:r>
      <w:r w:rsidRPr="0046218E">
        <w:rPr>
          <w:sz w:val="22"/>
          <w:szCs w:val="22"/>
        </w:rPr>
        <w:t>gents, but will merely indicate the need for review.</w:t>
      </w:r>
    </w:p>
    <w:p w14:paraId="39916C05" w14:textId="77777777" w:rsidR="00A7766C" w:rsidRPr="0046218E" w:rsidRDefault="00A7766C" w:rsidP="00A7766C">
      <w:pPr>
        <w:ind w:left="1080"/>
        <w:rPr>
          <w:sz w:val="22"/>
          <w:szCs w:val="22"/>
        </w:rPr>
      </w:pPr>
    </w:p>
    <w:p w14:paraId="1AE9D848" w14:textId="77777777" w:rsidR="003E7D30" w:rsidRPr="0046218E" w:rsidRDefault="003E7D30" w:rsidP="0046218E">
      <w:pPr>
        <w:numPr>
          <w:ilvl w:val="0"/>
          <w:numId w:val="13"/>
        </w:numPr>
        <w:rPr>
          <w:sz w:val="22"/>
          <w:szCs w:val="22"/>
        </w:rPr>
      </w:pPr>
      <w:r w:rsidRPr="0046218E">
        <w:rPr>
          <w:sz w:val="22"/>
          <w:szCs w:val="22"/>
        </w:rPr>
        <w:t>Five-year cumulative return signifi</w:t>
      </w:r>
      <w:r w:rsidR="002E07B8" w:rsidRPr="0046218E">
        <w:rPr>
          <w:sz w:val="22"/>
          <w:szCs w:val="22"/>
        </w:rPr>
        <w:t>cantly trails benchmark index.</w:t>
      </w:r>
    </w:p>
    <w:p w14:paraId="181AFB2E" w14:textId="77777777" w:rsidR="00A7766C" w:rsidRPr="0046218E" w:rsidRDefault="00A7766C" w:rsidP="0046218E">
      <w:pPr>
        <w:ind w:left="1980"/>
        <w:rPr>
          <w:sz w:val="22"/>
          <w:szCs w:val="22"/>
        </w:rPr>
      </w:pPr>
    </w:p>
    <w:p w14:paraId="5E22CFF4" w14:textId="77777777" w:rsidR="003E7D30" w:rsidRPr="0046218E" w:rsidRDefault="003E7D30" w:rsidP="0046218E">
      <w:pPr>
        <w:numPr>
          <w:ilvl w:val="0"/>
          <w:numId w:val="13"/>
        </w:numPr>
        <w:rPr>
          <w:sz w:val="22"/>
          <w:szCs w:val="22"/>
        </w:rPr>
      </w:pPr>
      <w:r w:rsidRPr="0046218E">
        <w:rPr>
          <w:sz w:val="22"/>
          <w:szCs w:val="22"/>
        </w:rPr>
        <w:t>Ranking of portfolio’s five-year returns against peer grou</w:t>
      </w:r>
      <w:r w:rsidR="002E07B8" w:rsidRPr="0046218E">
        <w:rPr>
          <w:sz w:val="22"/>
          <w:szCs w:val="22"/>
        </w:rPr>
        <w:t>p is significantly above or below median.</w:t>
      </w:r>
    </w:p>
    <w:p w14:paraId="78909EFA" w14:textId="77777777" w:rsidR="00A7766C" w:rsidRPr="0046218E" w:rsidRDefault="00A7766C" w:rsidP="0046218E">
      <w:pPr>
        <w:rPr>
          <w:sz w:val="22"/>
          <w:szCs w:val="22"/>
        </w:rPr>
      </w:pPr>
    </w:p>
    <w:p w14:paraId="5F2FC6C4" w14:textId="77777777" w:rsidR="003E7D30" w:rsidRPr="0046218E" w:rsidRDefault="003E7D30" w:rsidP="0046218E">
      <w:pPr>
        <w:numPr>
          <w:ilvl w:val="0"/>
          <w:numId w:val="13"/>
        </w:numPr>
        <w:rPr>
          <w:sz w:val="22"/>
          <w:szCs w:val="22"/>
        </w:rPr>
      </w:pPr>
      <w:r w:rsidRPr="0046218E">
        <w:rPr>
          <w:sz w:val="22"/>
          <w:szCs w:val="22"/>
        </w:rPr>
        <w:t>Ranking of portfolio’s on</w:t>
      </w:r>
      <w:r w:rsidR="006A2F7B" w:rsidRPr="0046218E">
        <w:rPr>
          <w:sz w:val="22"/>
          <w:szCs w:val="22"/>
        </w:rPr>
        <w:t>e</w:t>
      </w:r>
      <w:r w:rsidRPr="0046218E">
        <w:rPr>
          <w:sz w:val="22"/>
          <w:szCs w:val="22"/>
        </w:rPr>
        <w:t>-year return against the peer group is significantly</w:t>
      </w:r>
      <w:r w:rsidR="002E07B8" w:rsidRPr="0046218E">
        <w:rPr>
          <w:sz w:val="22"/>
          <w:szCs w:val="22"/>
        </w:rPr>
        <w:t xml:space="preserve"> above </w:t>
      </w:r>
      <w:r w:rsidR="009F367E" w:rsidRPr="0046218E">
        <w:rPr>
          <w:sz w:val="22"/>
          <w:szCs w:val="22"/>
        </w:rPr>
        <w:t>or below</w:t>
      </w:r>
      <w:r w:rsidRPr="0046218E">
        <w:rPr>
          <w:sz w:val="22"/>
          <w:szCs w:val="22"/>
        </w:rPr>
        <w:t xml:space="preserve"> median.</w:t>
      </w:r>
    </w:p>
    <w:p w14:paraId="46E94769" w14:textId="77777777" w:rsidR="00A7766C" w:rsidRPr="0046218E" w:rsidRDefault="00A7766C" w:rsidP="0046218E">
      <w:pPr>
        <w:rPr>
          <w:sz w:val="22"/>
          <w:szCs w:val="22"/>
        </w:rPr>
      </w:pPr>
    </w:p>
    <w:p w14:paraId="7E656ACC" w14:textId="77777777" w:rsidR="003E7D30" w:rsidRPr="0046218E" w:rsidRDefault="003E7D30" w:rsidP="0046218E">
      <w:pPr>
        <w:numPr>
          <w:ilvl w:val="0"/>
          <w:numId w:val="13"/>
        </w:numPr>
        <w:rPr>
          <w:sz w:val="22"/>
          <w:szCs w:val="22"/>
        </w:rPr>
      </w:pPr>
      <w:r w:rsidRPr="0046218E">
        <w:rPr>
          <w:sz w:val="22"/>
          <w:szCs w:val="22"/>
        </w:rPr>
        <w:t>Turnover of portfolio manager or other personnel significant to t</w:t>
      </w:r>
      <w:r w:rsidR="002E07B8" w:rsidRPr="0046218E">
        <w:rPr>
          <w:sz w:val="22"/>
          <w:szCs w:val="22"/>
        </w:rPr>
        <w:t>he portfolio management process.</w:t>
      </w:r>
    </w:p>
    <w:p w14:paraId="13BF0448" w14:textId="77777777" w:rsidR="00A7766C" w:rsidRPr="0046218E" w:rsidRDefault="00A7766C" w:rsidP="0046218E">
      <w:pPr>
        <w:rPr>
          <w:sz w:val="22"/>
          <w:szCs w:val="22"/>
        </w:rPr>
      </w:pPr>
    </w:p>
    <w:p w14:paraId="2213EE7D" w14:textId="77777777" w:rsidR="003E7D30" w:rsidRPr="0046218E" w:rsidRDefault="002E07B8" w:rsidP="0046218E">
      <w:pPr>
        <w:numPr>
          <w:ilvl w:val="0"/>
          <w:numId w:val="13"/>
        </w:numPr>
        <w:rPr>
          <w:sz w:val="22"/>
          <w:szCs w:val="22"/>
        </w:rPr>
      </w:pPr>
      <w:r w:rsidRPr="0046218E">
        <w:rPr>
          <w:sz w:val="22"/>
          <w:szCs w:val="22"/>
        </w:rPr>
        <w:t>Ownership change.</w:t>
      </w:r>
    </w:p>
    <w:p w14:paraId="71B0EAF4" w14:textId="77777777" w:rsidR="00A7766C" w:rsidRPr="0046218E" w:rsidRDefault="00A7766C" w:rsidP="0046218E">
      <w:pPr>
        <w:rPr>
          <w:sz w:val="22"/>
          <w:szCs w:val="22"/>
        </w:rPr>
      </w:pPr>
    </w:p>
    <w:p w14:paraId="2B327FAA" w14:textId="77777777" w:rsidR="003E7D30" w:rsidRPr="0046218E" w:rsidRDefault="003E7D30" w:rsidP="0046218E">
      <w:pPr>
        <w:numPr>
          <w:ilvl w:val="0"/>
          <w:numId w:val="13"/>
        </w:numPr>
        <w:rPr>
          <w:sz w:val="22"/>
          <w:szCs w:val="22"/>
        </w:rPr>
      </w:pPr>
      <w:r w:rsidRPr="0046218E">
        <w:rPr>
          <w:sz w:val="22"/>
          <w:szCs w:val="22"/>
        </w:rPr>
        <w:t>Involvement in relevant regulatory investigation or litigation.</w:t>
      </w:r>
    </w:p>
    <w:p w14:paraId="4B585B53" w14:textId="77777777" w:rsidR="00A7766C" w:rsidRPr="0046218E" w:rsidRDefault="00A7766C" w:rsidP="0046218E">
      <w:pPr>
        <w:rPr>
          <w:sz w:val="22"/>
          <w:szCs w:val="22"/>
        </w:rPr>
      </w:pPr>
    </w:p>
    <w:p w14:paraId="17B44C55" w14:textId="77777777" w:rsidR="00FC42A3" w:rsidRPr="0046218E" w:rsidRDefault="00FC42A3" w:rsidP="0046218E">
      <w:pPr>
        <w:numPr>
          <w:ilvl w:val="0"/>
          <w:numId w:val="13"/>
        </w:numPr>
        <w:rPr>
          <w:sz w:val="22"/>
          <w:szCs w:val="22"/>
        </w:rPr>
      </w:pPr>
      <w:r w:rsidRPr="0046218E">
        <w:rPr>
          <w:sz w:val="22"/>
          <w:szCs w:val="22"/>
        </w:rPr>
        <w:t xml:space="preserve">Aggregate assets are insufficient to ensure broad diversification, efficient </w:t>
      </w:r>
      <w:r w:rsidR="002E07B8" w:rsidRPr="0046218E">
        <w:rPr>
          <w:sz w:val="22"/>
          <w:szCs w:val="22"/>
        </w:rPr>
        <w:t>trading, and economies of scale.</w:t>
      </w:r>
    </w:p>
    <w:p w14:paraId="7AE10FCC" w14:textId="77777777" w:rsidR="00A7766C" w:rsidRPr="0046218E" w:rsidRDefault="00A7766C" w:rsidP="0046218E">
      <w:pPr>
        <w:rPr>
          <w:sz w:val="22"/>
          <w:szCs w:val="22"/>
        </w:rPr>
      </w:pPr>
    </w:p>
    <w:p w14:paraId="27280AC9" w14:textId="77777777" w:rsidR="00FC42A3" w:rsidRPr="0046218E" w:rsidRDefault="00FC42A3" w:rsidP="0046218E">
      <w:pPr>
        <w:numPr>
          <w:ilvl w:val="0"/>
          <w:numId w:val="13"/>
        </w:numPr>
        <w:rPr>
          <w:sz w:val="22"/>
          <w:szCs w:val="22"/>
        </w:rPr>
      </w:pPr>
      <w:r w:rsidRPr="0046218E">
        <w:rPr>
          <w:sz w:val="22"/>
          <w:szCs w:val="22"/>
        </w:rPr>
        <w:t>Assets grow too large to be managed in a manner similar to metho</w:t>
      </w:r>
      <w:r w:rsidR="002E07B8" w:rsidRPr="0046218E">
        <w:rPr>
          <w:sz w:val="22"/>
          <w:szCs w:val="22"/>
        </w:rPr>
        <w:t>ds that built historical record.</w:t>
      </w:r>
    </w:p>
    <w:p w14:paraId="4632764B" w14:textId="77777777" w:rsidR="00A7766C" w:rsidRPr="0046218E" w:rsidRDefault="00A7766C" w:rsidP="0046218E">
      <w:pPr>
        <w:rPr>
          <w:sz w:val="22"/>
          <w:szCs w:val="22"/>
        </w:rPr>
      </w:pPr>
    </w:p>
    <w:p w14:paraId="18F0FAB5" w14:textId="77777777" w:rsidR="00FC42A3" w:rsidRPr="0046218E" w:rsidRDefault="00FC42A3" w:rsidP="0046218E">
      <w:pPr>
        <w:numPr>
          <w:ilvl w:val="0"/>
          <w:numId w:val="13"/>
        </w:numPr>
        <w:rPr>
          <w:sz w:val="22"/>
          <w:szCs w:val="22"/>
        </w:rPr>
      </w:pPr>
      <w:r w:rsidRPr="0046218E">
        <w:rPr>
          <w:sz w:val="22"/>
          <w:szCs w:val="22"/>
        </w:rPr>
        <w:t>Portfolio characteristics do n</w:t>
      </w:r>
      <w:r w:rsidR="002E07B8" w:rsidRPr="0046218E">
        <w:rPr>
          <w:sz w:val="22"/>
          <w:szCs w:val="22"/>
        </w:rPr>
        <w:t>ot match stylistic expectations.</w:t>
      </w:r>
    </w:p>
    <w:p w14:paraId="6FCEB4F6" w14:textId="77777777" w:rsidR="00A7766C" w:rsidRPr="0046218E" w:rsidRDefault="00A7766C" w:rsidP="0046218E">
      <w:pPr>
        <w:rPr>
          <w:sz w:val="22"/>
          <w:szCs w:val="22"/>
        </w:rPr>
      </w:pPr>
    </w:p>
    <w:p w14:paraId="68013EF2" w14:textId="77777777" w:rsidR="00FC42A3" w:rsidRDefault="00FC42A3" w:rsidP="0046218E">
      <w:pPr>
        <w:numPr>
          <w:ilvl w:val="0"/>
          <w:numId w:val="13"/>
        </w:numPr>
        <w:rPr>
          <w:sz w:val="22"/>
          <w:szCs w:val="22"/>
        </w:rPr>
      </w:pPr>
      <w:r w:rsidRPr="0046218E">
        <w:rPr>
          <w:sz w:val="22"/>
          <w:szCs w:val="22"/>
        </w:rPr>
        <w:t>Significant change in fees.</w:t>
      </w:r>
    </w:p>
    <w:p w14:paraId="12D8B43E" w14:textId="77777777" w:rsidR="005B5BC8" w:rsidRDefault="005B5BC8" w:rsidP="005B5BC8">
      <w:pPr>
        <w:pStyle w:val="ListParagraph"/>
        <w:rPr>
          <w:sz w:val="22"/>
          <w:szCs w:val="22"/>
        </w:rPr>
      </w:pPr>
    </w:p>
    <w:p w14:paraId="1E875856" w14:textId="77777777" w:rsidR="005B5BC8" w:rsidRDefault="005B5BC8" w:rsidP="005B5BC8">
      <w:pPr>
        <w:ind w:left="720"/>
        <w:rPr>
          <w:sz w:val="22"/>
          <w:szCs w:val="22"/>
        </w:rPr>
      </w:pPr>
    </w:p>
    <w:p w14:paraId="49549C5B" w14:textId="77777777" w:rsidR="005B5BC8" w:rsidRPr="0046218E" w:rsidRDefault="005B5BC8" w:rsidP="005B5BC8">
      <w:pPr>
        <w:ind w:left="720"/>
        <w:rPr>
          <w:sz w:val="22"/>
          <w:szCs w:val="22"/>
        </w:rPr>
      </w:pPr>
    </w:p>
    <w:p w14:paraId="4DFF22FA" w14:textId="77777777" w:rsidR="005B5BC8" w:rsidRDefault="005B5BC8" w:rsidP="002542C0">
      <w:pPr>
        <w:jc w:val="center"/>
        <w:outlineLvl w:val="0"/>
        <w:rPr>
          <w:b/>
          <w:sz w:val="22"/>
          <w:szCs w:val="22"/>
        </w:rPr>
      </w:pPr>
    </w:p>
    <w:p w14:paraId="4FEDBB71" w14:textId="77777777" w:rsidR="005B5BC8" w:rsidRDefault="005B5BC8" w:rsidP="002542C0">
      <w:pPr>
        <w:jc w:val="center"/>
        <w:outlineLvl w:val="0"/>
        <w:rPr>
          <w:b/>
          <w:sz w:val="22"/>
          <w:szCs w:val="22"/>
        </w:rPr>
      </w:pPr>
    </w:p>
    <w:p w14:paraId="6E3CCA18" w14:textId="77777777" w:rsidR="006F42A4" w:rsidRDefault="006F42A4" w:rsidP="002542C0">
      <w:pPr>
        <w:jc w:val="center"/>
        <w:outlineLvl w:val="0"/>
        <w:rPr>
          <w:b/>
          <w:sz w:val="22"/>
          <w:szCs w:val="22"/>
        </w:rPr>
      </w:pPr>
    </w:p>
    <w:p w14:paraId="2D21F813" w14:textId="77777777" w:rsidR="006F42A4" w:rsidRDefault="006F42A4" w:rsidP="002542C0">
      <w:pPr>
        <w:jc w:val="center"/>
        <w:outlineLvl w:val="0"/>
        <w:rPr>
          <w:b/>
          <w:sz w:val="22"/>
          <w:szCs w:val="22"/>
        </w:rPr>
      </w:pPr>
    </w:p>
    <w:p w14:paraId="0B36C666" w14:textId="77777777" w:rsidR="006F42A4" w:rsidRDefault="006F42A4" w:rsidP="002542C0">
      <w:pPr>
        <w:jc w:val="center"/>
        <w:outlineLvl w:val="0"/>
        <w:rPr>
          <w:b/>
          <w:sz w:val="22"/>
          <w:szCs w:val="22"/>
        </w:rPr>
      </w:pPr>
    </w:p>
    <w:p w14:paraId="4F65F432" w14:textId="77777777" w:rsidR="00A7766C" w:rsidRPr="0046218E" w:rsidRDefault="00A7766C" w:rsidP="002542C0">
      <w:pPr>
        <w:jc w:val="center"/>
        <w:outlineLvl w:val="0"/>
        <w:rPr>
          <w:b/>
          <w:sz w:val="22"/>
          <w:szCs w:val="22"/>
        </w:rPr>
      </w:pPr>
      <w:r w:rsidRPr="0046218E">
        <w:rPr>
          <w:b/>
          <w:sz w:val="22"/>
          <w:szCs w:val="22"/>
        </w:rPr>
        <w:lastRenderedPageBreak/>
        <w:t>EXHIBIT ONE</w:t>
      </w:r>
    </w:p>
    <w:p w14:paraId="15560466" w14:textId="77777777" w:rsidR="00611313" w:rsidRPr="0046218E" w:rsidRDefault="00611313" w:rsidP="002542C0">
      <w:pPr>
        <w:jc w:val="center"/>
        <w:outlineLvl w:val="0"/>
        <w:rPr>
          <w:b/>
          <w:sz w:val="22"/>
          <w:szCs w:val="22"/>
        </w:rPr>
      </w:pPr>
    </w:p>
    <w:p w14:paraId="1FF3758E" w14:textId="77777777" w:rsidR="00F000AF" w:rsidRPr="0046218E" w:rsidRDefault="0046218E" w:rsidP="002542C0">
      <w:pPr>
        <w:jc w:val="center"/>
        <w:outlineLvl w:val="0"/>
        <w:rPr>
          <w:smallCaps/>
          <w:sz w:val="22"/>
          <w:szCs w:val="22"/>
        </w:rPr>
      </w:pPr>
      <w:r w:rsidRPr="0046218E">
        <w:rPr>
          <w:smallCaps/>
          <w:sz w:val="22"/>
          <w:szCs w:val="22"/>
        </w:rPr>
        <w:t>Centre Foundation</w:t>
      </w:r>
    </w:p>
    <w:p w14:paraId="59F17A69" w14:textId="77777777" w:rsidR="00611313" w:rsidRPr="0046218E" w:rsidRDefault="00611313" w:rsidP="002542C0">
      <w:pPr>
        <w:jc w:val="center"/>
        <w:outlineLvl w:val="0"/>
        <w:rPr>
          <w:smallCaps/>
          <w:sz w:val="22"/>
          <w:szCs w:val="22"/>
        </w:rPr>
      </w:pPr>
    </w:p>
    <w:p w14:paraId="1FF20655" w14:textId="77777777" w:rsidR="00A7766C" w:rsidRPr="0046218E" w:rsidRDefault="00F000AF" w:rsidP="00F000AF">
      <w:pPr>
        <w:jc w:val="center"/>
        <w:rPr>
          <w:sz w:val="22"/>
          <w:szCs w:val="22"/>
        </w:rPr>
      </w:pPr>
      <w:r w:rsidRPr="0046218E">
        <w:rPr>
          <w:sz w:val="22"/>
          <w:szCs w:val="22"/>
        </w:rPr>
        <w:t>Statement of Investment Objectives and Policies</w:t>
      </w:r>
    </w:p>
    <w:p w14:paraId="22E9ABD8" w14:textId="77777777" w:rsidR="00611313" w:rsidRPr="0046218E" w:rsidRDefault="00611313" w:rsidP="00F000AF">
      <w:pPr>
        <w:jc w:val="center"/>
        <w:rPr>
          <w:sz w:val="22"/>
          <w:szCs w:val="22"/>
        </w:rPr>
      </w:pPr>
    </w:p>
    <w:p w14:paraId="79724373" w14:textId="77777777" w:rsidR="00F000AF" w:rsidRPr="00157C3D" w:rsidRDefault="00F000AF" w:rsidP="00F000AF">
      <w:pPr>
        <w:jc w:val="center"/>
        <w:rPr>
          <w:sz w:val="22"/>
          <w:szCs w:val="22"/>
        </w:rPr>
      </w:pPr>
      <w:r w:rsidRPr="00157C3D">
        <w:rPr>
          <w:sz w:val="22"/>
          <w:szCs w:val="22"/>
        </w:rPr>
        <w:t>Approved</w:t>
      </w:r>
      <w:r w:rsidR="00611313" w:rsidRPr="00157C3D">
        <w:rPr>
          <w:sz w:val="22"/>
          <w:szCs w:val="22"/>
        </w:rPr>
        <w:t xml:space="preserve"> </w:t>
      </w:r>
      <w:r w:rsidR="00227855">
        <w:rPr>
          <w:sz w:val="22"/>
          <w:szCs w:val="22"/>
        </w:rPr>
        <w:t>March 23, 2017</w:t>
      </w:r>
    </w:p>
    <w:p w14:paraId="2F9285A5" w14:textId="77777777" w:rsidR="00F000AF" w:rsidRPr="0046218E" w:rsidRDefault="00F000AF" w:rsidP="00F000AF">
      <w:pPr>
        <w:jc w:val="center"/>
        <w:rPr>
          <w:sz w:val="22"/>
          <w:szCs w:val="22"/>
        </w:rPr>
      </w:pPr>
    </w:p>
    <w:p w14:paraId="231DCFF4" w14:textId="77777777" w:rsidR="00F000AF" w:rsidRPr="0046218E" w:rsidRDefault="00F000AF" w:rsidP="00611313">
      <w:pPr>
        <w:jc w:val="center"/>
        <w:outlineLvl w:val="0"/>
        <w:rPr>
          <w:b/>
          <w:sz w:val="22"/>
          <w:szCs w:val="22"/>
        </w:rPr>
      </w:pPr>
      <w:r w:rsidRPr="0046218E">
        <w:rPr>
          <w:b/>
          <w:sz w:val="22"/>
          <w:szCs w:val="22"/>
        </w:rPr>
        <w:t>BOARD POLICY REGARDING ASSET ALLOCATION</w:t>
      </w:r>
    </w:p>
    <w:p w14:paraId="49BF8248" w14:textId="77777777" w:rsidR="00F000AF" w:rsidRPr="0046218E" w:rsidRDefault="00F000AF" w:rsidP="00F000AF">
      <w:pPr>
        <w:rPr>
          <w:sz w:val="22"/>
          <w:szCs w:val="22"/>
        </w:rPr>
      </w:pPr>
    </w:p>
    <w:p w14:paraId="52F5D84D" w14:textId="77777777" w:rsidR="00F000AF" w:rsidRPr="0046218E" w:rsidRDefault="00611313" w:rsidP="00F000AF">
      <w:pPr>
        <w:rPr>
          <w:b/>
          <w:sz w:val="22"/>
          <w:szCs w:val="22"/>
          <w:u w:val="single"/>
        </w:rPr>
      </w:pPr>
      <w:r w:rsidRPr="0046218E">
        <w:rPr>
          <w:sz w:val="22"/>
          <w:szCs w:val="22"/>
        </w:rPr>
        <w:tab/>
      </w:r>
      <w:r w:rsidRPr="0046218E">
        <w:rPr>
          <w:sz w:val="22"/>
          <w:szCs w:val="22"/>
        </w:rPr>
        <w:tab/>
      </w:r>
      <w:r w:rsidRPr="0046218E">
        <w:rPr>
          <w:sz w:val="22"/>
          <w:szCs w:val="22"/>
        </w:rPr>
        <w:tab/>
      </w:r>
      <w:r w:rsidRPr="0046218E">
        <w:rPr>
          <w:sz w:val="22"/>
          <w:szCs w:val="22"/>
        </w:rPr>
        <w:tab/>
      </w:r>
      <w:r w:rsidR="00F000AF" w:rsidRPr="0046218E">
        <w:rPr>
          <w:sz w:val="22"/>
          <w:szCs w:val="22"/>
        </w:rPr>
        <w:tab/>
      </w:r>
      <w:r w:rsidR="00F000AF" w:rsidRPr="0046218E">
        <w:rPr>
          <w:b/>
          <w:sz w:val="22"/>
          <w:szCs w:val="22"/>
          <w:u w:val="single"/>
        </w:rPr>
        <w:t>Range</w:t>
      </w:r>
      <w:r w:rsidR="00F000AF" w:rsidRPr="0046218E">
        <w:rPr>
          <w:b/>
          <w:sz w:val="22"/>
          <w:szCs w:val="22"/>
        </w:rPr>
        <w:tab/>
      </w:r>
      <w:r w:rsidR="007C184A">
        <w:rPr>
          <w:b/>
          <w:sz w:val="22"/>
          <w:szCs w:val="22"/>
        </w:rPr>
        <w:tab/>
      </w:r>
      <w:r w:rsidR="00F000AF" w:rsidRPr="0046218E">
        <w:rPr>
          <w:b/>
          <w:sz w:val="22"/>
          <w:szCs w:val="22"/>
          <w:u w:val="single"/>
        </w:rPr>
        <w:t>Target</w:t>
      </w:r>
      <w:r w:rsidRPr="0046218E">
        <w:rPr>
          <w:b/>
          <w:sz w:val="22"/>
          <w:szCs w:val="22"/>
        </w:rPr>
        <w:t xml:space="preserve">         </w:t>
      </w:r>
      <w:r w:rsidRPr="0046218E">
        <w:rPr>
          <w:b/>
          <w:sz w:val="22"/>
          <w:szCs w:val="22"/>
          <w:u w:val="single"/>
        </w:rPr>
        <w:t>Benchmark</w:t>
      </w:r>
    </w:p>
    <w:p w14:paraId="3C77DB23" w14:textId="77777777" w:rsidR="00F000AF" w:rsidRPr="0046218E" w:rsidRDefault="00F000AF" w:rsidP="00F000AF">
      <w:pPr>
        <w:rPr>
          <w:sz w:val="22"/>
          <w:szCs w:val="22"/>
          <w:u w:val="single"/>
        </w:rPr>
      </w:pPr>
    </w:p>
    <w:p w14:paraId="5D1EAD66" w14:textId="77777777" w:rsidR="00F000AF" w:rsidRPr="0046218E" w:rsidRDefault="00611313" w:rsidP="00F000AF">
      <w:pPr>
        <w:rPr>
          <w:b/>
          <w:sz w:val="22"/>
          <w:szCs w:val="22"/>
          <w:u w:val="single"/>
        </w:rPr>
      </w:pPr>
      <w:r w:rsidRPr="0046218E">
        <w:rPr>
          <w:b/>
          <w:sz w:val="22"/>
          <w:szCs w:val="22"/>
          <w:u w:val="single"/>
        </w:rPr>
        <w:t xml:space="preserve">Global </w:t>
      </w:r>
      <w:r w:rsidR="00F000AF" w:rsidRPr="0046218E">
        <w:rPr>
          <w:b/>
          <w:sz w:val="22"/>
          <w:szCs w:val="22"/>
          <w:u w:val="single"/>
        </w:rPr>
        <w:t>Equities:</w:t>
      </w:r>
    </w:p>
    <w:p w14:paraId="7CEEFA2B" w14:textId="77777777" w:rsidR="00F000AF" w:rsidRPr="0046218E" w:rsidRDefault="00F000AF" w:rsidP="00F000AF">
      <w:pPr>
        <w:rPr>
          <w:sz w:val="22"/>
          <w:szCs w:val="22"/>
        </w:rPr>
      </w:pPr>
    </w:p>
    <w:p w14:paraId="770034D6" w14:textId="77777777" w:rsidR="00F000AF" w:rsidRPr="0046218E" w:rsidRDefault="006558D3" w:rsidP="00F000AF">
      <w:pPr>
        <w:rPr>
          <w:sz w:val="22"/>
          <w:szCs w:val="22"/>
        </w:rPr>
      </w:pPr>
      <w:r w:rsidRPr="0046218E">
        <w:rPr>
          <w:sz w:val="22"/>
          <w:szCs w:val="22"/>
        </w:rPr>
        <w:tab/>
      </w:r>
      <w:r w:rsidRPr="0046218E">
        <w:rPr>
          <w:sz w:val="22"/>
          <w:szCs w:val="22"/>
        </w:rPr>
        <w:tab/>
      </w:r>
      <w:r w:rsidRPr="0046218E">
        <w:rPr>
          <w:sz w:val="22"/>
          <w:szCs w:val="22"/>
        </w:rPr>
        <w:tab/>
      </w:r>
      <w:r w:rsidR="00611313" w:rsidRPr="0046218E">
        <w:rPr>
          <w:sz w:val="22"/>
          <w:szCs w:val="22"/>
        </w:rPr>
        <w:tab/>
      </w:r>
      <w:r w:rsidR="00611313" w:rsidRPr="0046218E">
        <w:rPr>
          <w:sz w:val="22"/>
          <w:szCs w:val="22"/>
        </w:rPr>
        <w:tab/>
        <w:t>40-80%</w:t>
      </w:r>
      <w:r w:rsidR="00F000AF" w:rsidRPr="0046218E">
        <w:rPr>
          <w:sz w:val="22"/>
          <w:szCs w:val="22"/>
        </w:rPr>
        <w:tab/>
      </w:r>
      <w:r w:rsidR="007C184A">
        <w:rPr>
          <w:sz w:val="22"/>
          <w:szCs w:val="22"/>
        </w:rPr>
        <w:tab/>
      </w:r>
      <w:r w:rsidR="00F000AF" w:rsidRPr="0046218E">
        <w:rPr>
          <w:sz w:val="22"/>
          <w:szCs w:val="22"/>
        </w:rPr>
        <w:t>50%</w:t>
      </w:r>
      <w:r w:rsidR="00611313" w:rsidRPr="0046218E">
        <w:rPr>
          <w:sz w:val="22"/>
          <w:szCs w:val="22"/>
        </w:rPr>
        <w:tab/>
      </w:r>
      <w:r w:rsidR="005969EB">
        <w:rPr>
          <w:sz w:val="22"/>
          <w:szCs w:val="22"/>
        </w:rPr>
        <w:tab/>
      </w:r>
      <w:r w:rsidR="00611313" w:rsidRPr="0046218E">
        <w:rPr>
          <w:sz w:val="22"/>
          <w:szCs w:val="22"/>
        </w:rPr>
        <w:t>MSCI All Country World</w:t>
      </w:r>
    </w:p>
    <w:p w14:paraId="5DF7E143" w14:textId="77777777" w:rsidR="00C50103" w:rsidRDefault="00611313" w:rsidP="00C50103">
      <w:pPr>
        <w:rPr>
          <w:sz w:val="16"/>
          <w:szCs w:val="16"/>
        </w:rPr>
      </w:pP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007C184A">
        <w:rPr>
          <w:sz w:val="22"/>
          <w:szCs w:val="22"/>
        </w:rPr>
        <w:tab/>
      </w:r>
      <w:r w:rsidRPr="0046218E">
        <w:rPr>
          <w:sz w:val="22"/>
          <w:szCs w:val="22"/>
        </w:rPr>
        <w:t>US Dollar Inde</w:t>
      </w:r>
      <w:r w:rsidR="005969EB">
        <w:rPr>
          <w:sz w:val="23"/>
          <w:szCs w:val="23"/>
        </w:rPr>
        <w:t xml:space="preserve">x </w:t>
      </w:r>
      <w:r w:rsidR="005969EB">
        <w:rPr>
          <w:sz w:val="16"/>
          <w:szCs w:val="16"/>
        </w:rPr>
        <w:t>1</w:t>
      </w:r>
    </w:p>
    <w:p w14:paraId="0989BA5C" w14:textId="77777777" w:rsidR="00611313" w:rsidRPr="0046218E" w:rsidRDefault="00611313" w:rsidP="00C50103">
      <w:pPr>
        <w:ind w:firstLine="720"/>
        <w:rPr>
          <w:sz w:val="22"/>
          <w:szCs w:val="22"/>
        </w:rPr>
      </w:pPr>
      <w:r w:rsidRPr="0046218E">
        <w:rPr>
          <w:sz w:val="22"/>
          <w:szCs w:val="22"/>
        </w:rPr>
        <w:t>US Equities</w:t>
      </w:r>
    </w:p>
    <w:p w14:paraId="03BF07EF" w14:textId="77777777" w:rsidR="006558D3" w:rsidRPr="0046218E" w:rsidRDefault="00611313" w:rsidP="00F000AF">
      <w:pPr>
        <w:rPr>
          <w:sz w:val="22"/>
          <w:szCs w:val="22"/>
        </w:rPr>
      </w:pPr>
      <w:r w:rsidRPr="0046218E">
        <w:rPr>
          <w:sz w:val="22"/>
          <w:szCs w:val="22"/>
        </w:rPr>
        <w:tab/>
        <w:t>Other Developed Market Equities</w:t>
      </w:r>
    </w:p>
    <w:p w14:paraId="52A00B41" w14:textId="77777777" w:rsidR="00611313" w:rsidRPr="0046218E" w:rsidRDefault="006558D3" w:rsidP="00F000AF">
      <w:pPr>
        <w:rPr>
          <w:sz w:val="22"/>
          <w:szCs w:val="22"/>
        </w:rPr>
      </w:pPr>
      <w:r w:rsidRPr="0046218E">
        <w:rPr>
          <w:sz w:val="22"/>
          <w:szCs w:val="22"/>
        </w:rPr>
        <w:tab/>
      </w:r>
      <w:r w:rsidR="00611313" w:rsidRPr="0046218E">
        <w:rPr>
          <w:sz w:val="22"/>
          <w:szCs w:val="22"/>
        </w:rPr>
        <w:t>Emerging Markets Equities</w:t>
      </w:r>
    </w:p>
    <w:p w14:paraId="60DC95A0" w14:textId="77777777" w:rsidR="00611313" w:rsidRPr="0046218E" w:rsidRDefault="00611313" w:rsidP="00F000AF">
      <w:pPr>
        <w:rPr>
          <w:sz w:val="22"/>
          <w:szCs w:val="22"/>
        </w:rPr>
      </w:pPr>
    </w:p>
    <w:p w14:paraId="0965133D" w14:textId="77777777" w:rsidR="00F000AF" w:rsidRPr="0046218E" w:rsidRDefault="00F000AF" w:rsidP="00F000AF">
      <w:pPr>
        <w:rPr>
          <w:sz w:val="22"/>
          <w:szCs w:val="22"/>
        </w:rPr>
      </w:pPr>
    </w:p>
    <w:p w14:paraId="059FC529" w14:textId="77777777" w:rsidR="00F000AF" w:rsidRPr="0046218E" w:rsidRDefault="00F000AF" w:rsidP="00F000AF">
      <w:pPr>
        <w:rPr>
          <w:sz w:val="22"/>
          <w:szCs w:val="22"/>
        </w:rPr>
      </w:pPr>
      <w:r w:rsidRPr="0046218E">
        <w:rPr>
          <w:b/>
          <w:sz w:val="22"/>
          <w:szCs w:val="22"/>
          <w:u w:val="single"/>
        </w:rPr>
        <w:t>Fixed Income:</w:t>
      </w:r>
      <w:r w:rsidR="00611313" w:rsidRPr="0046218E">
        <w:rPr>
          <w:sz w:val="22"/>
          <w:szCs w:val="22"/>
        </w:rPr>
        <w:tab/>
      </w:r>
      <w:r w:rsidR="00611313" w:rsidRPr="0046218E">
        <w:rPr>
          <w:sz w:val="22"/>
          <w:szCs w:val="22"/>
        </w:rPr>
        <w:tab/>
      </w:r>
      <w:r w:rsidR="00611313" w:rsidRPr="0046218E">
        <w:rPr>
          <w:sz w:val="22"/>
          <w:szCs w:val="22"/>
        </w:rPr>
        <w:tab/>
      </w:r>
      <w:r w:rsidR="007C184A">
        <w:rPr>
          <w:sz w:val="22"/>
          <w:szCs w:val="22"/>
        </w:rPr>
        <w:tab/>
      </w:r>
      <w:r w:rsidR="003C5E98">
        <w:rPr>
          <w:sz w:val="22"/>
          <w:szCs w:val="22"/>
        </w:rPr>
        <w:t>1</w:t>
      </w:r>
      <w:r w:rsidR="00611313" w:rsidRPr="0046218E">
        <w:rPr>
          <w:sz w:val="22"/>
          <w:szCs w:val="22"/>
        </w:rPr>
        <w:t>0-60%</w:t>
      </w:r>
      <w:r w:rsidRPr="0046218E">
        <w:rPr>
          <w:sz w:val="22"/>
          <w:szCs w:val="22"/>
        </w:rPr>
        <w:tab/>
      </w:r>
      <w:r w:rsidR="007C184A">
        <w:rPr>
          <w:sz w:val="22"/>
          <w:szCs w:val="22"/>
        </w:rPr>
        <w:tab/>
      </w:r>
      <w:r w:rsidRPr="0046218E">
        <w:rPr>
          <w:sz w:val="22"/>
          <w:szCs w:val="22"/>
        </w:rPr>
        <w:t>30%</w:t>
      </w:r>
      <w:r w:rsidR="00611313" w:rsidRPr="0046218E">
        <w:rPr>
          <w:sz w:val="22"/>
          <w:szCs w:val="22"/>
        </w:rPr>
        <w:tab/>
      </w:r>
      <w:r w:rsidR="005969EB">
        <w:rPr>
          <w:sz w:val="22"/>
          <w:szCs w:val="22"/>
        </w:rPr>
        <w:tab/>
      </w:r>
      <w:r w:rsidR="00C50103" w:rsidRPr="00227855">
        <w:rPr>
          <w:sz w:val="22"/>
          <w:szCs w:val="22"/>
        </w:rPr>
        <w:t>Bloomberg</w:t>
      </w:r>
      <w:r w:rsidR="00C50103">
        <w:rPr>
          <w:sz w:val="22"/>
          <w:szCs w:val="22"/>
        </w:rPr>
        <w:t xml:space="preserve"> </w:t>
      </w:r>
      <w:r w:rsidR="00611313" w:rsidRPr="0046218E">
        <w:rPr>
          <w:sz w:val="22"/>
          <w:szCs w:val="22"/>
        </w:rPr>
        <w:t xml:space="preserve">Barclay’s </w:t>
      </w:r>
      <w:r w:rsidR="00C50103" w:rsidRPr="00C50103">
        <w:rPr>
          <w:sz w:val="22"/>
          <w:szCs w:val="22"/>
        </w:rPr>
        <w:t>US</w:t>
      </w:r>
    </w:p>
    <w:p w14:paraId="5D5B59A2" w14:textId="77777777" w:rsidR="00F000AF" w:rsidRPr="0046218E" w:rsidRDefault="00611313" w:rsidP="00611313">
      <w:pPr>
        <w:rPr>
          <w:sz w:val="22"/>
          <w:szCs w:val="22"/>
        </w:rPr>
      </w:pP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Pr="0046218E">
        <w:rPr>
          <w:sz w:val="22"/>
          <w:szCs w:val="22"/>
        </w:rPr>
        <w:tab/>
      </w:r>
      <w:r w:rsidR="007C184A">
        <w:rPr>
          <w:sz w:val="22"/>
          <w:szCs w:val="22"/>
        </w:rPr>
        <w:tab/>
      </w:r>
      <w:r w:rsidRPr="0046218E">
        <w:rPr>
          <w:sz w:val="22"/>
          <w:szCs w:val="22"/>
        </w:rPr>
        <w:t>Aggregate Bond Index</w:t>
      </w:r>
      <w:r w:rsidR="005969EB">
        <w:rPr>
          <w:sz w:val="22"/>
          <w:szCs w:val="22"/>
        </w:rPr>
        <w:t xml:space="preserve"> 2</w:t>
      </w:r>
    </w:p>
    <w:p w14:paraId="148A8E58" w14:textId="77777777" w:rsidR="00F000AF" w:rsidRPr="0046218E" w:rsidRDefault="00F000AF" w:rsidP="00F000AF">
      <w:pPr>
        <w:rPr>
          <w:sz w:val="22"/>
          <w:szCs w:val="22"/>
        </w:rPr>
      </w:pPr>
      <w:r w:rsidRPr="0046218E">
        <w:rPr>
          <w:sz w:val="22"/>
          <w:szCs w:val="22"/>
        </w:rPr>
        <w:tab/>
      </w:r>
      <w:r w:rsidR="00611313" w:rsidRPr="0046218E">
        <w:rPr>
          <w:sz w:val="22"/>
          <w:szCs w:val="22"/>
        </w:rPr>
        <w:t xml:space="preserve">US Govt. and Corporate </w:t>
      </w:r>
      <w:r w:rsidRPr="0046218E">
        <w:rPr>
          <w:sz w:val="22"/>
          <w:szCs w:val="22"/>
        </w:rPr>
        <w:t>Bonds</w:t>
      </w:r>
    </w:p>
    <w:p w14:paraId="22838E6D" w14:textId="77777777" w:rsidR="00F000AF" w:rsidRPr="0046218E" w:rsidRDefault="00F000AF" w:rsidP="00F000AF">
      <w:pPr>
        <w:rPr>
          <w:sz w:val="22"/>
          <w:szCs w:val="22"/>
        </w:rPr>
      </w:pPr>
      <w:r w:rsidRPr="0046218E">
        <w:rPr>
          <w:sz w:val="22"/>
          <w:szCs w:val="22"/>
        </w:rPr>
        <w:tab/>
        <w:t>Inflation Linked Bonds</w:t>
      </w:r>
    </w:p>
    <w:p w14:paraId="2BFBB7E0" w14:textId="77777777" w:rsidR="00F000AF" w:rsidRPr="0046218E" w:rsidRDefault="00F000AF" w:rsidP="00F000AF">
      <w:pPr>
        <w:rPr>
          <w:sz w:val="22"/>
          <w:szCs w:val="22"/>
        </w:rPr>
      </w:pPr>
      <w:r w:rsidRPr="0046218E">
        <w:rPr>
          <w:sz w:val="22"/>
          <w:szCs w:val="22"/>
        </w:rPr>
        <w:tab/>
        <w:t>Cash &amp; Equivalents</w:t>
      </w:r>
    </w:p>
    <w:p w14:paraId="72C9E2C4" w14:textId="77777777" w:rsidR="00F000AF" w:rsidRPr="0046218E" w:rsidRDefault="00F000AF" w:rsidP="00F000AF">
      <w:pPr>
        <w:rPr>
          <w:sz w:val="22"/>
          <w:szCs w:val="22"/>
        </w:rPr>
      </w:pPr>
    </w:p>
    <w:p w14:paraId="460D639A" w14:textId="77777777" w:rsidR="00C50103" w:rsidRPr="00227855" w:rsidRDefault="00F000AF" w:rsidP="00C50103">
      <w:pPr>
        <w:rPr>
          <w:sz w:val="23"/>
          <w:szCs w:val="23"/>
        </w:rPr>
      </w:pPr>
      <w:r w:rsidRPr="0046218E">
        <w:rPr>
          <w:b/>
          <w:sz w:val="22"/>
          <w:szCs w:val="22"/>
          <w:u w:val="single"/>
        </w:rPr>
        <w:t>Discretionary:</w:t>
      </w:r>
      <w:r w:rsidRPr="0046218E">
        <w:rPr>
          <w:sz w:val="22"/>
          <w:szCs w:val="22"/>
        </w:rPr>
        <w:tab/>
      </w:r>
      <w:r w:rsidRPr="0046218E">
        <w:rPr>
          <w:sz w:val="22"/>
          <w:szCs w:val="22"/>
        </w:rPr>
        <w:tab/>
      </w:r>
      <w:r w:rsidRPr="0046218E">
        <w:rPr>
          <w:sz w:val="22"/>
          <w:szCs w:val="22"/>
        </w:rPr>
        <w:tab/>
      </w:r>
      <w:r w:rsidR="007C184A">
        <w:rPr>
          <w:sz w:val="22"/>
          <w:szCs w:val="22"/>
        </w:rPr>
        <w:tab/>
      </w:r>
      <w:r w:rsidRPr="0046218E">
        <w:rPr>
          <w:sz w:val="22"/>
          <w:szCs w:val="22"/>
        </w:rPr>
        <w:t>0</w:t>
      </w:r>
      <w:r w:rsidR="00611313" w:rsidRPr="0046218E">
        <w:rPr>
          <w:sz w:val="22"/>
          <w:szCs w:val="22"/>
        </w:rPr>
        <w:t>%-30%</w:t>
      </w:r>
      <w:r w:rsidRPr="0046218E">
        <w:rPr>
          <w:sz w:val="22"/>
          <w:szCs w:val="22"/>
        </w:rPr>
        <w:tab/>
        <w:t>20%</w:t>
      </w:r>
      <w:r w:rsidR="00611313" w:rsidRPr="0046218E">
        <w:rPr>
          <w:sz w:val="22"/>
          <w:szCs w:val="22"/>
        </w:rPr>
        <w:tab/>
      </w:r>
      <w:r w:rsidR="007C184A">
        <w:rPr>
          <w:sz w:val="22"/>
          <w:szCs w:val="22"/>
        </w:rPr>
        <w:tab/>
      </w:r>
      <w:r w:rsidR="00C50103" w:rsidRPr="00227855">
        <w:rPr>
          <w:sz w:val="22"/>
          <w:szCs w:val="22"/>
        </w:rPr>
        <w:t>60% MSCI All Country World</w:t>
      </w:r>
      <w:r w:rsidR="00C50103" w:rsidRPr="00227855">
        <w:rPr>
          <w:sz w:val="23"/>
          <w:szCs w:val="23"/>
        </w:rPr>
        <w:t xml:space="preserve"> </w:t>
      </w:r>
    </w:p>
    <w:p w14:paraId="0AB2E217" w14:textId="77777777" w:rsidR="00C50103" w:rsidRPr="00227855" w:rsidRDefault="00C50103" w:rsidP="00C50103">
      <w:pPr>
        <w:rPr>
          <w:sz w:val="16"/>
          <w:szCs w:val="16"/>
        </w:rPr>
      </w:pPr>
      <w:r w:rsidRPr="00227855">
        <w:rPr>
          <w:sz w:val="23"/>
          <w:szCs w:val="23"/>
        </w:rPr>
        <w:tab/>
      </w:r>
      <w:r w:rsidRPr="00227855">
        <w:rPr>
          <w:sz w:val="23"/>
          <w:szCs w:val="23"/>
        </w:rPr>
        <w:tab/>
      </w:r>
      <w:r w:rsidRPr="00227855">
        <w:rPr>
          <w:sz w:val="23"/>
          <w:szCs w:val="23"/>
        </w:rPr>
        <w:tab/>
      </w:r>
      <w:r w:rsidRPr="00227855">
        <w:rPr>
          <w:sz w:val="23"/>
          <w:szCs w:val="23"/>
        </w:rPr>
        <w:tab/>
      </w:r>
      <w:r w:rsidRPr="00227855">
        <w:rPr>
          <w:sz w:val="23"/>
          <w:szCs w:val="23"/>
        </w:rPr>
        <w:tab/>
      </w:r>
      <w:r w:rsidRPr="00227855">
        <w:rPr>
          <w:sz w:val="23"/>
          <w:szCs w:val="23"/>
        </w:rPr>
        <w:tab/>
      </w:r>
      <w:r w:rsidRPr="00227855">
        <w:rPr>
          <w:sz w:val="23"/>
          <w:szCs w:val="23"/>
        </w:rPr>
        <w:tab/>
      </w:r>
      <w:r w:rsidRPr="00227855">
        <w:rPr>
          <w:sz w:val="23"/>
          <w:szCs w:val="23"/>
        </w:rPr>
        <w:tab/>
      </w:r>
      <w:r w:rsidRPr="00227855">
        <w:rPr>
          <w:sz w:val="23"/>
          <w:szCs w:val="23"/>
        </w:rPr>
        <w:tab/>
      </w:r>
      <w:r w:rsidRPr="00227855">
        <w:rPr>
          <w:sz w:val="22"/>
          <w:szCs w:val="22"/>
        </w:rPr>
        <w:t>US Dollar Inde</w:t>
      </w:r>
      <w:r w:rsidRPr="00227855">
        <w:rPr>
          <w:sz w:val="23"/>
          <w:szCs w:val="23"/>
        </w:rPr>
        <w:t xml:space="preserve">x </w:t>
      </w:r>
      <w:r w:rsidRPr="00227855">
        <w:rPr>
          <w:sz w:val="16"/>
          <w:szCs w:val="16"/>
        </w:rPr>
        <w:t>1</w:t>
      </w:r>
    </w:p>
    <w:p w14:paraId="0B98495A" w14:textId="77777777" w:rsidR="00C50103" w:rsidRPr="00227855" w:rsidRDefault="00C50103" w:rsidP="00C50103">
      <w:pPr>
        <w:rPr>
          <w:sz w:val="22"/>
          <w:szCs w:val="22"/>
        </w:rPr>
      </w:pPr>
      <w:r w:rsidRPr="00227855">
        <w:rPr>
          <w:sz w:val="16"/>
          <w:szCs w:val="16"/>
        </w:rPr>
        <w:tab/>
      </w:r>
      <w:r w:rsidRPr="00227855">
        <w:rPr>
          <w:sz w:val="16"/>
          <w:szCs w:val="16"/>
        </w:rPr>
        <w:tab/>
      </w:r>
      <w:r w:rsidRPr="00227855">
        <w:rPr>
          <w:sz w:val="16"/>
          <w:szCs w:val="16"/>
        </w:rPr>
        <w:tab/>
      </w:r>
      <w:r w:rsidRPr="00227855">
        <w:rPr>
          <w:sz w:val="16"/>
          <w:szCs w:val="16"/>
        </w:rPr>
        <w:tab/>
      </w:r>
      <w:r w:rsidRPr="00227855">
        <w:rPr>
          <w:sz w:val="16"/>
          <w:szCs w:val="16"/>
        </w:rPr>
        <w:tab/>
      </w:r>
      <w:r w:rsidRPr="00227855">
        <w:rPr>
          <w:sz w:val="16"/>
          <w:szCs w:val="16"/>
        </w:rPr>
        <w:tab/>
      </w:r>
      <w:r w:rsidRPr="00227855">
        <w:rPr>
          <w:sz w:val="16"/>
          <w:szCs w:val="16"/>
        </w:rPr>
        <w:tab/>
      </w:r>
      <w:r w:rsidRPr="00227855">
        <w:rPr>
          <w:sz w:val="16"/>
          <w:szCs w:val="16"/>
        </w:rPr>
        <w:tab/>
      </w:r>
      <w:r w:rsidRPr="00227855">
        <w:rPr>
          <w:sz w:val="16"/>
          <w:szCs w:val="16"/>
        </w:rPr>
        <w:tab/>
      </w:r>
      <w:r w:rsidRPr="00227855">
        <w:rPr>
          <w:sz w:val="22"/>
          <w:szCs w:val="22"/>
        </w:rPr>
        <w:t>40%</w:t>
      </w:r>
      <w:r w:rsidRPr="00227855">
        <w:rPr>
          <w:sz w:val="16"/>
          <w:szCs w:val="16"/>
        </w:rPr>
        <w:t xml:space="preserve"> </w:t>
      </w:r>
      <w:r w:rsidRPr="00227855">
        <w:rPr>
          <w:sz w:val="22"/>
          <w:szCs w:val="22"/>
        </w:rPr>
        <w:t>Bloomberg Barclay’s US</w:t>
      </w:r>
    </w:p>
    <w:p w14:paraId="6C42AFA0" w14:textId="77777777" w:rsidR="00C50103" w:rsidRDefault="00C50103" w:rsidP="00C50103">
      <w:pPr>
        <w:rPr>
          <w:sz w:val="23"/>
          <w:szCs w:val="23"/>
        </w:rPr>
      </w:pPr>
      <w:r w:rsidRPr="00227855">
        <w:rPr>
          <w:sz w:val="22"/>
          <w:szCs w:val="22"/>
        </w:rPr>
        <w:tab/>
      </w:r>
      <w:r w:rsidRPr="00227855">
        <w:rPr>
          <w:sz w:val="22"/>
          <w:szCs w:val="22"/>
        </w:rPr>
        <w:tab/>
      </w:r>
      <w:r w:rsidRPr="00227855">
        <w:rPr>
          <w:sz w:val="22"/>
          <w:szCs w:val="22"/>
        </w:rPr>
        <w:tab/>
      </w:r>
      <w:r w:rsidRPr="00227855">
        <w:rPr>
          <w:sz w:val="22"/>
          <w:szCs w:val="22"/>
        </w:rPr>
        <w:tab/>
      </w:r>
      <w:r w:rsidRPr="00227855">
        <w:rPr>
          <w:sz w:val="22"/>
          <w:szCs w:val="22"/>
        </w:rPr>
        <w:tab/>
      </w:r>
      <w:r w:rsidRPr="00227855">
        <w:rPr>
          <w:sz w:val="22"/>
          <w:szCs w:val="22"/>
        </w:rPr>
        <w:tab/>
      </w:r>
      <w:r w:rsidRPr="00227855">
        <w:rPr>
          <w:sz w:val="22"/>
          <w:szCs w:val="22"/>
        </w:rPr>
        <w:tab/>
      </w:r>
      <w:r w:rsidRPr="00227855">
        <w:rPr>
          <w:sz w:val="22"/>
          <w:szCs w:val="22"/>
        </w:rPr>
        <w:tab/>
      </w:r>
      <w:r w:rsidRPr="00227855">
        <w:rPr>
          <w:sz w:val="22"/>
          <w:szCs w:val="22"/>
        </w:rPr>
        <w:tab/>
        <w:t>Aggregate Bond Index 2</w:t>
      </w:r>
    </w:p>
    <w:p w14:paraId="5558743A" w14:textId="77777777" w:rsidR="005969EB" w:rsidRPr="00157C3D" w:rsidRDefault="005969EB" w:rsidP="00C50103">
      <w:pPr>
        <w:rPr>
          <w:sz w:val="23"/>
          <w:szCs w:val="23"/>
        </w:rPr>
      </w:pPr>
      <w:r w:rsidRPr="00157C3D">
        <w:rPr>
          <w:sz w:val="23"/>
          <w:szCs w:val="23"/>
        </w:rPr>
        <w:t xml:space="preserve">Including by way of example: </w:t>
      </w:r>
    </w:p>
    <w:p w14:paraId="3D6FAC83" w14:textId="77777777" w:rsidR="005969EB" w:rsidRPr="00157C3D" w:rsidRDefault="005969EB" w:rsidP="005969EB">
      <w:pPr>
        <w:pStyle w:val="Default"/>
        <w:rPr>
          <w:color w:val="auto"/>
          <w:sz w:val="23"/>
          <w:szCs w:val="23"/>
        </w:rPr>
      </w:pPr>
      <w:r w:rsidRPr="00157C3D">
        <w:rPr>
          <w:color w:val="auto"/>
          <w:sz w:val="23"/>
          <w:szCs w:val="23"/>
        </w:rPr>
        <w:t xml:space="preserve">Any of the Above </w:t>
      </w:r>
    </w:p>
    <w:p w14:paraId="0039F676" w14:textId="77777777" w:rsidR="005969EB" w:rsidRPr="00157C3D" w:rsidRDefault="005969EB" w:rsidP="005969EB">
      <w:pPr>
        <w:pStyle w:val="Default"/>
        <w:rPr>
          <w:color w:val="auto"/>
          <w:sz w:val="23"/>
          <w:szCs w:val="23"/>
        </w:rPr>
      </w:pPr>
      <w:r w:rsidRPr="00157C3D">
        <w:rPr>
          <w:color w:val="auto"/>
          <w:sz w:val="23"/>
          <w:szCs w:val="23"/>
        </w:rPr>
        <w:t xml:space="preserve">REITs </w:t>
      </w:r>
    </w:p>
    <w:p w14:paraId="4AB0AA50" w14:textId="77777777" w:rsidR="005969EB" w:rsidRPr="00157C3D" w:rsidRDefault="005969EB" w:rsidP="005969EB">
      <w:pPr>
        <w:pStyle w:val="Default"/>
        <w:rPr>
          <w:color w:val="auto"/>
          <w:sz w:val="23"/>
          <w:szCs w:val="23"/>
        </w:rPr>
      </w:pPr>
      <w:r w:rsidRPr="00157C3D">
        <w:rPr>
          <w:color w:val="auto"/>
          <w:sz w:val="23"/>
          <w:szCs w:val="23"/>
        </w:rPr>
        <w:t>High Yield Bond</w:t>
      </w:r>
      <w:r w:rsidR="00A4705D" w:rsidRPr="00157C3D">
        <w:rPr>
          <w:color w:val="auto"/>
          <w:sz w:val="23"/>
          <w:szCs w:val="23"/>
        </w:rPr>
        <w:t xml:space="preserve"> Funds</w:t>
      </w:r>
      <w:r w:rsidRPr="00157C3D">
        <w:rPr>
          <w:color w:val="auto"/>
          <w:sz w:val="23"/>
          <w:szCs w:val="23"/>
        </w:rPr>
        <w:t xml:space="preserve"> </w:t>
      </w:r>
    </w:p>
    <w:p w14:paraId="7682A7A9" w14:textId="77777777" w:rsidR="005969EB" w:rsidRPr="00157C3D" w:rsidRDefault="005969EB" w:rsidP="005969EB">
      <w:pPr>
        <w:pStyle w:val="Default"/>
        <w:rPr>
          <w:color w:val="auto"/>
          <w:sz w:val="23"/>
          <w:szCs w:val="23"/>
        </w:rPr>
      </w:pPr>
      <w:r w:rsidRPr="00157C3D">
        <w:rPr>
          <w:color w:val="auto"/>
          <w:sz w:val="23"/>
          <w:szCs w:val="23"/>
        </w:rPr>
        <w:t>Non-U.S. Bond</w:t>
      </w:r>
      <w:r w:rsidR="00A4705D" w:rsidRPr="00157C3D">
        <w:rPr>
          <w:color w:val="auto"/>
          <w:sz w:val="23"/>
          <w:szCs w:val="23"/>
        </w:rPr>
        <w:t xml:space="preserve"> Funds</w:t>
      </w:r>
      <w:r w:rsidRPr="00157C3D">
        <w:rPr>
          <w:color w:val="auto"/>
          <w:sz w:val="23"/>
          <w:szCs w:val="23"/>
        </w:rPr>
        <w:t xml:space="preserve"> </w:t>
      </w:r>
    </w:p>
    <w:p w14:paraId="0D66FC81" w14:textId="77777777" w:rsidR="005969EB" w:rsidRPr="00157C3D" w:rsidRDefault="005969EB" w:rsidP="005969EB">
      <w:pPr>
        <w:pStyle w:val="Default"/>
        <w:rPr>
          <w:color w:val="auto"/>
          <w:sz w:val="23"/>
          <w:szCs w:val="23"/>
        </w:rPr>
      </w:pPr>
      <w:r w:rsidRPr="00157C3D">
        <w:rPr>
          <w:color w:val="auto"/>
          <w:sz w:val="23"/>
          <w:szCs w:val="23"/>
        </w:rPr>
        <w:t xml:space="preserve">Commodities </w:t>
      </w:r>
    </w:p>
    <w:p w14:paraId="42F188F3" w14:textId="77777777" w:rsidR="005969EB" w:rsidRPr="00157C3D" w:rsidRDefault="005969EB" w:rsidP="005969EB">
      <w:pPr>
        <w:rPr>
          <w:sz w:val="23"/>
          <w:szCs w:val="23"/>
        </w:rPr>
      </w:pPr>
      <w:r w:rsidRPr="00157C3D">
        <w:rPr>
          <w:sz w:val="23"/>
          <w:szCs w:val="23"/>
        </w:rPr>
        <w:t>Others as may be approved in advance by Foundation</w:t>
      </w:r>
    </w:p>
    <w:p w14:paraId="471FB2EF" w14:textId="77777777" w:rsidR="00F000AF" w:rsidRPr="00157C3D" w:rsidRDefault="00F000AF" w:rsidP="005969EB">
      <w:pPr>
        <w:rPr>
          <w:sz w:val="22"/>
          <w:szCs w:val="22"/>
        </w:rPr>
      </w:pPr>
    </w:p>
    <w:p w14:paraId="262060CE" w14:textId="77777777" w:rsidR="005B5BC8" w:rsidRPr="00157C3D" w:rsidRDefault="005B5BC8" w:rsidP="00A11E40">
      <w:pPr>
        <w:rPr>
          <w:b/>
          <w:sz w:val="22"/>
          <w:szCs w:val="22"/>
        </w:rPr>
      </w:pPr>
    </w:p>
    <w:p w14:paraId="432E7A7B" w14:textId="77777777" w:rsidR="005B5BC8" w:rsidRPr="00157C3D" w:rsidRDefault="005B5BC8" w:rsidP="00A11E40">
      <w:pPr>
        <w:rPr>
          <w:b/>
          <w:sz w:val="22"/>
          <w:szCs w:val="22"/>
        </w:rPr>
      </w:pPr>
    </w:p>
    <w:p w14:paraId="691D8AA3" w14:textId="77777777" w:rsidR="00D6527E" w:rsidRPr="00157C3D" w:rsidRDefault="005969EB" w:rsidP="005969EB">
      <w:pPr>
        <w:pStyle w:val="Default"/>
        <w:rPr>
          <w:color w:val="auto"/>
          <w:sz w:val="18"/>
          <w:szCs w:val="18"/>
        </w:rPr>
      </w:pPr>
      <w:r w:rsidRPr="00157C3D">
        <w:rPr>
          <w:color w:val="auto"/>
          <w:sz w:val="12"/>
          <w:szCs w:val="12"/>
        </w:rPr>
        <w:t xml:space="preserve">1 </w:t>
      </w:r>
      <w:r w:rsidRPr="00157C3D">
        <w:rPr>
          <w:color w:val="auto"/>
          <w:sz w:val="18"/>
          <w:szCs w:val="18"/>
        </w:rPr>
        <w:t xml:space="preserve">The MSCI ACWI (All Country World Index) Index is a free float-adjusted, market-capitalization-weighted index that is designed to measure the equity market performance of developed and emerging markets. </w:t>
      </w:r>
    </w:p>
    <w:p w14:paraId="2D5C73C5" w14:textId="77777777" w:rsidR="005969EB" w:rsidRPr="00157C3D" w:rsidRDefault="005969EB" w:rsidP="005969EB">
      <w:pPr>
        <w:pStyle w:val="Default"/>
        <w:rPr>
          <w:color w:val="auto"/>
          <w:sz w:val="18"/>
          <w:szCs w:val="18"/>
        </w:rPr>
      </w:pPr>
      <w:r w:rsidRPr="00157C3D">
        <w:rPr>
          <w:color w:val="auto"/>
          <w:sz w:val="18"/>
          <w:szCs w:val="18"/>
        </w:rPr>
        <w:t xml:space="preserve">Total return calculations will be used, based on the Net Daily Total return index, expressed in U.S. dollars, all capitalization sizes (IMI) and no particular style. See for example: http://www.mscibarra.com/products/indices/international_equity_indices/gimi/stdindex/performance.html </w:t>
      </w:r>
    </w:p>
    <w:p w14:paraId="4ED21D43" w14:textId="77777777" w:rsidR="005969EB" w:rsidRPr="00157C3D" w:rsidRDefault="005969EB" w:rsidP="005969EB">
      <w:pPr>
        <w:pStyle w:val="Default"/>
        <w:rPr>
          <w:color w:val="auto"/>
          <w:sz w:val="18"/>
          <w:szCs w:val="18"/>
        </w:rPr>
      </w:pPr>
      <w:r w:rsidRPr="00157C3D">
        <w:rPr>
          <w:color w:val="auto"/>
          <w:sz w:val="12"/>
          <w:szCs w:val="12"/>
        </w:rPr>
        <w:t xml:space="preserve">2 </w:t>
      </w:r>
      <w:r w:rsidRPr="00157C3D">
        <w:rPr>
          <w:color w:val="auto"/>
          <w:sz w:val="18"/>
          <w:szCs w:val="18"/>
        </w:rPr>
        <w:t xml:space="preserve">The </w:t>
      </w:r>
      <w:r w:rsidR="00C50103" w:rsidRPr="00227855">
        <w:rPr>
          <w:color w:val="auto"/>
          <w:sz w:val="18"/>
          <w:szCs w:val="18"/>
        </w:rPr>
        <w:t>Bloomberg</w:t>
      </w:r>
      <w:r w:rsidR="00C50103">
        <w:rPr>
          <w:color w:val="auto"/>
          <w:sz w:val="18"/>
          <w:szCs w:val="18"/>
        </w:rPr>
        <w:t xml:space="preserve"> </w:t>
      </w:r>
      <w:r w:rsidRPr="00157C3D">
        <w:rPr>
          <w:color w:val="auto"/>
          <w:sz w:val="18"/>
          <w:szCs w:val="18"/>
        </w:rPr>
        <w:t xml:space="preserve">Barclays U.S. Aggregate Bond Index is a broad-based benchmark that measures the investment grade, U.S. dollar-denominated, fixed-rate, taxable bond market, including Treasuries, government-related and corporate securities, MBS (agency fixed-rate and hybrid ARM passthroughs), ABS, and CMBS. </w:t>
      </w:r>
    </w:p>
    <w:p w14:paraId="6DB9853A" w14:textId="77777777" w:rsidR="005B5BC8" w:rsidRPr="00157C3D" w:rsidRDefault="005969EB" w:rsidP="005969EB">
      <w:pPr>
        <w:rPr>
          <w:b/>
          <w:sz w:val="22"/>
          <w:szCs w:val="22"/>
        </w:rPr>
      </w:pPr>
      <w:r w:rsidRPr="00157C3D">
        <w:rPr>
          <w:sz w:val="18"/>
          <w:szCs w:val="18"/>
        </w:rPr>
        <w:t>Total return calculations will be used, expressed in U.S. dollars. See for example: https://ecommerce.barcap.com/indices/index.dxml</w:t>
      </w:r>
    </w:p>
    <w:p w14:paraId="013905E0" w14:textId="77777777" w:rsidR="005B5BC8" w:rsidRPr="005969EB" w:rsidRDefault="005B5BC8" w:rsidP="00A11E40">
      <w:pPr>
        <w:rPr>
          <w:b/>
          <w:color w:val="006600"/>
          <w:sz w:val="22"/>
          <w:szCs w:val="22"/>
        </w:rPr>
      </w:pPr>
    </w:p>
    <w:p w14:paraId="03A302F9" w14:textId="77777777" w:rsidR="005B5BC8" w:rsidRDefault="005B5BC8" w:rsidP="00A11E40">
      <w:pPr>
        <w:rPr>
          <w:b/>
          <w:sz w:val="22"/>
          <w:szCs w:val="22"/>
        </w:rPr>
      </w:pPr>
    </w:p>
    <w:p w14:paraId="1FB5BE76" w14:textId="77777777" w:rsidR="005B5BC8" w:rsidRDefault="005B5BC8" w:rsidP="00A11E40">
      <w:pPr>
        <w:rPr>
          <w:b/>
          <w:sz w:val="22"/>
          <w:szCs w:val="22"/>
        </w:rPr>
      </w:pPr>
    </w:p>
    <w:p w14:paraId="1A587617" w14:textId="77777777" w:rsidR="005B5BC8" w:rsidRDefault="005B5BC8" w:rsidP="00A11E40">
      <w:pPr>
        <w:rPr>
          <w:b/>
          <w:sz w:val="22"/>
          <w:szCs w:val="22"/>
        </w:rPr>
      </w:pPr>
    </w:p>
    <w:p w14:paraId="4EB713E7" w14:textId="77777777" w:rsidR="006F42A4" w:rsidRDefault="006F42A4" w:rsidP="00A11E40">
      <w:pPr>
        <w:rPr>
          <w:b/>
          <w:sz w:val="22"/>
          <w:szCs w:val="22"/>
        </w:rPr>
      </w:pPr>
    </w:p>
    <w:p w14:paraId="6083684F" w14:textId="77777777" w:rsidR="006F42A4" w:rsidRDefault="006F42A4" w:rsidP="00A11E40">
      <w:pPr>
        <w:rPr>
          <w:b/>
          <w:sz w:val="22"/>
          <w:szCs w:val="22"/>
        </w:rPr>
      </w:pPr>
    </w:p>
    <w:p w14:paraId="2C4589B3" w14:textId="77777777" w:rsidR="00E10898" w:rsidRPr="0046218E" w:rsidRDefault="00E10898" w:rsidP="00A11E40">
      <w:pPr>
        <w:rPr>
          <w:sz w:val="22"/>
          <w:szCs w:val="22"/>
        </w:rPr>
      </w:pPr>
      <w:r w:rsidRPr="0046218E">
        <w:rPr>
          <w:b/>
          <w:sz w:val="22"/>
          <w:szCs w:val="22"/>
        </w:rPr>
        <w:lastRenderedPageBreak/>
        <w:t>INSURANCE ADDENDUM</w:t>
      </w:r>
    </w:p>
    <w:p w14:paraId="02C05A31" w14:textId="77777777" w:rsidR="00E10898" w:rsidRPr="0046218E" w:rsidRDefault="00E10898" w:rsidP="00E608A7">
      <w:pPr>
        <w:jc w:val="center"/>
        <w:rPr>
          <w:sz w:val="22"/>
          <w:szCs w:val="22"/>
        </w:rPr>
      </w:pPr>
    </w:p>
    <w:p w14:paraId="2850CC30" w14:textId="77777777" w:rsidR="00E10898" w:rsidRPr="0046218E" w:rsidRDefault="00E10898" w:rsidP="00E608A7">
      <w:pPr>
        <w:jc w:val="center"/>
        <w:outlineLvl w:val="0"/>
        <w:rPr>
          <w:sz w:val="22"/>
          <w:szCs w:val="22"/>
        </w:rPr>
      </w:pPr>
      <w:r w:rsidRPr="0046218E">
        <w:rPr>
          <w:sz w:val="22"/>
          <w:szCs w:val="22"/>
        </w:rPr>
        <w:t>GUIDELINES FOR RETENTION OF INSURANCE POLICIES</w:t>
      </w:r>
    </w:p>
    <w:p w14:paraId="3EB624BB" w14:textId="77777777" w:rsidR="00E10898" w:rsidRPr="0046218E" w:rsidRDefault="00E10898" w:rsidP="00E608A7">
      <w:pPr>
        <w:jc w:val="center"/>
        <w:rPr>
          <w:sz w:val="22"/>
          <w:szCs w:val="22"/>
        </w:rPr>
      </w:pPr>
    </w:p>
    <w:p w14:paraId="6CABFBDD" w14:textId="77777777" w:rsidR="00E10898" w:rsidRPr="0046218E" w:rsidRDefault="00E10898" w:rsidP="00E608A7">
      <w:pPr>
        <w:rPr>
          <w:sz w:val="22"/>
          <w:szCs w:val="22"/>
        </w:rPr>
      </w:pPr>
      <w:r w:rsidRPr="0046218E">
        <w:rPr>
          <w:sz w:val="22"/>
          <w:szCs w:val="22"/>
        </w:rPr>
        <w:t>If the death benefit above cash value is:</w:t>
      </w:r>
    </w:p>
    <w:p w14:paraId="1CEA36A3" w14:textId="77777777" w:rsidR="00E608A7" w:rsidRPr="0046218E" w:rsidRDefault="00E608A7" w:rsidP="00E608A7">
      <w:pPr>
        <w:rPr>
          <w:sz w:val="22"/>
          <w:szCs w:val="22"/>
        </w:rPr>
      </w:pPr>
    </w:p>
    <w:p w14:paraId="603ECDAD" w14:textId="77777777" w:rsidR="00E10898" w:rsidRPr="0046218E" w:rsidRDefault="00E608A7" w:rsidP="00E608A7">
      <w:pPr>
        <w:numPr>
          <w:ilvl w:val="0"/>
          <w:numId w:val="7"/>
        </w:numPr>
        <w:rPr>
          <w:sz w:val="22"/>
          <w:szCs w:val="22"/>
        </w:rPr>
      </w:pPr>
      <w:r w:rsidRPr="0046218E">
        <w:rPr>
          <w:sz w:val="22"/>
          <w:szCs w:val="22"/>
        </w:rPr>
        <w:t>M</w:t>
      </w:r>
      <w:r w:rsidR="00E10898" w:rsidRPr="0046218E">
        <w:rPr>
          <w:sz w:val="22"/>
          <w:szCs w:val="22"/>
        </w:rPr>
        <w:t>ore than $8,000</w:t>
      </w:r>
      <w:r w:rsidR="00BB779F">
        <w:rPr>
          <w:sz w:val="22"/>
          <w:szCs w:val="22"/>
        </w:rPr>
        <w:t>,</w:t>
      </w:r>
      <w:r w:rsidR="00E10898" w:rsidRPr="0046218E">
        <w:rPr>
          <w:sz w:val="22"/>
          <w:szCs w:val="22"/>
        </w:rPr>
        <w:t xml:space="preserve"> hold on to the policy.</w:t>
      </w:r>
    </w:p>
    <w:p w14:paraId="6465441B" w14:textId="77777777" w:rsidR="00E608A7" w:rsidRPr="0046218E" w:rsidRDefault="00E608A7" w:rsidP="00E608A7">
      <w:pPr>
        <w:ind w:left="360"/>
        <w:rPr>
          <w:sz w:val="22"/>
          <w:szCs w:val="22"/>
        </w:rPr>
      </w:pPr>
    </w:p>
    <w:p w14:paraId="1BF2ACFB" w14:textId="77777777" w:rsidR="00E10898" w:rsidRPr="0046218E" w:rsidRDefault="00E608A7" w:rsidP="00E608A7">
      <w:pPr>
        <w:numPr>
          <w:ilvl w:val="0"/>
          <w:numId w:val="7"/>
        </w:numPr>
        <w:rPr>
          <w:sz w:val="22"/>
          <w:szCs w:val="22"/>
        </w:rPr>
      </w:pPr>
      <w:r w:rsidRPr="0046218E">
        <w:rPr>
          <w:sz w:val="22"/>
          <w:szCs w:val="22"/>
        </w:rPr>
        <w:t>L</w:t>
      </w:r>
      <w:r w:rsidR="00E10898" w:rsidRPr="0046218E">
        <w:rPr>
          <w:sz w:val="22"/>
          <w:szCs w:val="22"/>
        </w:rPr>
        <w:t>ess than $4,000, cash it in.</w:t>
      </w:r>
    </w:p>
    <w:p w14:paraId="47E2E59C" w14:textId="77777777" w:rsidR="00E608A7" w:rsidRPr="0046218E" w:rsidRDefault="00E608A7" w:rsidP="00E608A7">
      <w:pPr>
        <w:rPr>
          <w:sz w:val="22"/>
          <w:szCs w:val="22"/>
        </w:rPr>
      </w:pPr>
    </w:p>
    <w:p w14:paraId="668F7600" w14:textId="77777777" w:rsidR="00A11E40" w:rsidRPr="0046218E" w:rsidRDefault="00E608A7" w:rsidP="00E608A7">
      <w:pPr>
        <w:numPr>
          <w:ilvl w:val="0"/>
          <w:numId w:val="7"/>
        </w:numPr>
        <w:rPr>
          <w:sz w:val="22"/>
          <w:szCs w:val="22"/>
        </w:rPr>
      </w:pPr>
      <w:r w:rsidRPr="0046218E">
        <w:rPr>
          <w:sz w:val="22"/>
          <w:szCs w:val="22"/>
        </w:rPr>
        <w:t>B</w:t>
      </w:r>
      <w:r w:rsidR="00E10898" w:rsidRPr="0046218E">
        <w:rPr>
          <w:sz w:val="22"/>
          <w:szCs w:val="22"/>
        </w:rPr>
        <w:t>etween $4,000 and $8,000, decide on a case-by-case basis.</w:t>
      </w:r>
    </w:p>
    <w:p w14:paraId="28AEC028" w14:textId="77777777" w:rsidR="00A11E40" w:rsidRPr="0046218E" w:rsidRDefault="00A11E40" w:rsidP="00A11E40">
      <w:pPr>
        <w:kinsoku w:val="0"/>
        <w:overflowPunct w:val="0"/>
        <w:spacing w:before="9" w:line="307" w:lineRule="exact"/>
        <w:jc w:val="center"/>
        <w:textAlignment w:val="baseline"/>
        <w:rPr>
          <w:b/>
          <w:bCs/>
          <w:spacing w:val="5"/>
          <w:sz w:val="22"/>
          <w:szCs w:val="22"/>
        </w:rPr>
      </w:pPr>
      <w:r w:rsidRPr="0046218E">
        <w:rPr>
          <w:sz w:val="22"/>
          <w:szCs w:val="22"/>
        </w:rPr>
        <w:br w:type="page"/>
      </w:r>
      <w:r w:rsidRPr="0046218E">
        <w:rPr>
          <w:b/>
          <w:bCs/>
          <w:spacing w:val="5"/>
          <w:sz w:val="22"/>
          <w:szCs w:val="22"/>
        </w:rPr>
        <w:lastRenderedPageBreak/>
        <w:t>ADDENDUM</w:t>
      </w:r>
    </w:p>
    <w:p w14:paraId="530E966C" w14:textId="77777777" w:rsidR="00A11E40" w:rsidRPr="0046218E" w:rsidRDefault="00A11E40" w:rsidP="00A11E40">
      <w:pPr>
        <w:kinsoku w:val="0"/>
        <w:overflowPunct w:val="0"/>
        <w:spacing w:line="307" w:lineRule="exact"/>
        <w:jc w:val="center"/>
        <w:textAlignment w:val="baseline"/>
        <w:rPr>
          <w:b/>
          <w:bCs/>
          <w:sz w:val="22"/>
          <w:szCs w:val="22"/>
        </w:rPr>
      </w:pPr>
      <w:r w:rsidRPr="0046218E">
        <w:rPr>
          <w:b/>
          <w:bCs/>
          <w:sz w:val="22"/>
          <w:szCs w:val="22"/>
        </w:rPr>
        <w:t>Treatment of Excess Business Holdings</w:t>
      </w:r>
    </w:p>
    <w:p w14:paraId="71AD898B" w14:textId="77777777" w:rsidR="00A11E40" w:rsidRPr="0046218E" w:rsidRDefault="00A11E40" w:rsidP="00A11E40">
      <w:pPr>
        <w:kinsoku w:val="0"/>
        <w:overflowPunct w:val="0"/>
        <w:spacing w:before="286" w:line="269" w:lineRule="exact"/>
        <w:ind w:right="72"/>
        <w:textAlignment w:val="baseline"/>
        <w:rPr>
          <w:spacing w:val="-2"/>
          <w:sz w:val="22"/>
          <w:szCs w:val="22"/>
        </w:rPr>
      </w:pPr>
      <w:r w:rsidRPr="0046218E">
        <w:rPr>
          <w:spacing w:val="-2"/>
          <w:sz w:val="22"/>
          <w:szCs w:val="22"/>
        </w:rPr>
        <w:t xml:space="preserve">Under the Pension Protection Act of 2006 (PPA), the private foundation excess business holdings rules now apply to donor advised funds as if they were private foundations'. That is, the holdings of a donor advised fund in a business enterprise, </w:t>
      </w:r>
      <w:r w:rsidRPr="0046218E">
        <w:rPr>
          <w:b/>
          <w:bCs/>
          <w:spacing w:val="-2"/>
          <w:sz w:val="22"/>
          <w:szCs w:val="22"/>
        </w:rPr>
        <w:t xml:space="preserve">together with the holdings of persons who are disqualified persons with respect to that fund, </w:t>
      </w:r>
      <w:r w:rsidRPr="0046218E">
        <w:rPr>
          <w:spacing w:val="-2"/>
          <w:sz w:val="22"/>
          <w:szCs w:val="22"/>
        </w:rPr>
        <w:t>may not exceed any of the following:</w:t>
      </w:r>
    </w:p>
    <w:p w14:paraId="2982914F" w14:textId="77777777" w:rsidR="00A11E40" w:rsidRPr="0046218E" w:rsidRDefault="00A11E40" w:rsidP="00A11E40">
      <w:pPr>
        <w:widowControl w:val="0"/>
        <w:numPr>
          <w:ilvl w:val="0"/>
          <w:numId w:val="11"/>
        </w:numPr>
        <w:kinsoku w:val="0"/>
        <w:overflowPunct w:val="0"/>
        <w:spacing w:before="264" w:line="267" w:lineRule="exact"/>
        <w:textAlignment w:val="baseline"/>
        <w:rPr>
          <w:spacing w:val="-1"/>
          <w:sz w:val="22"/>
          <w:szCs w:val="22"/>
        </w:rPr>
      </w:pPr>
      <w:r w:rsidRPr="0046218E">
        <w:rPr>
          <w:spacing w:val="-1"/>
          <w:sz w:val="22"/>
          <w:szCs w:val="22"/>
        </w:rPr>
        <w:t>Twenty percent</w:t>
      </w:r>
      <w:r w:rsidRPr="0046218E">
        <w:rPr>
          <w:spacing w:val="-1"/>
          <w:sz w:val="22"/>
          <w:szCs w:val="22"/>
          <w:vertAlign w:val="superscript"/>
        </w:rPr>
        <w:t>2</w:t>
      </w:r>
      <w:r w:rsidRPr="0046218E">
        <w:rPr>
          <w:spacing w:val="-1"/>
          <w:sz w:val="22"/>
          <w:szCs w:val="22"/>
        </w:rPr>
        <w:t xml:space="preserve"> of the voting stock</w:t>
      </w:r>
      <w:r w:rsidRPr="0046218E">
        <w:rPr>
          <w:spacing w:val="-1"/>
          <w:sz w:val="22"/>
          <w:szCs w:val="22"/>
          <w:vertAlign w:val="superscript"/>
        </w:rPr>
        <w:t>3</w:t>
      </w:r>
      <w:r w:rsidRPr="0046218E">
        <w:rPr>
          <w:spacing w:val="-1"/>
          <w:sz w:val="22"/>
          <w:szCs w:val="22"/>
        </w:rPr>
        <w:t xml:space="preserve"> of an incorporated business</w:t>
      </w:r>
    </w:p>
    <w:p w14:paraId="110D4843" w14:textId="77777777" w:rsidR="00A11E40" w:rsidRPr="0046218E" w:rsidRDefault="00A11E40" w:rsidP="00A11E40">
      <w:pPr>
        <w:widowControl w:val="0"/>
        <w:numPr>
          <w:ilvl w:val="0"/>
          <w:numId w:val="11"/>
        </w:numPr>
        <w:kinsoku w:val="0"/>
        <w:overflowPunct w:val="0"/>
        <w:spacing w:line="268" w:lineRule="exact"/>
        <w:ind w:right="504"/>
        <w:textAlignment w:val="baseline"/>
        <w:rPr>
          <w:sz w:val="22"/>
          <w:szCs w:val="22"/>
        </w:rPr>
      </w:pPr>
      <w:r w:rsidRPr="0046218E">
        <w:rPr>
          <w:sz w:val="22"/>
          <w:szCs w:val="22"/>
        </w:rPr>
        <w:t>Twenty percent of the profits interest of a partnership or joint venture or the beneficial interest of a trust or similar entity</w:t>
      </w:r>
    </w:p>
    <w:p w14:paraId="4599ED88" w14:textId="77777777" w:rsidR="00A11E40" w:rsidRPr="0046218E" w:rsidRDefault="00A11E40" w:rsidP="00A11E40">
      <w:pPr>
        <w:kinsoku w:val="0"/>
        <w:overflowPunct w:val="0"/>
        <w:spacing w:before="258" w:line="269" w:lineRule="exact"/>
        <w:ind w:right="216"/>
        <w:textAlignment w:val="baseline"/>
        <w:rPr>
          <w:sz w:val="22"/>
          <w:szCs w:val="22"/>
        </w:rPr>
      </w:pPr>
      <w:r w:rsidRPr="0046218E">
        <w:rPr>
          <w:sz w:val="22"/>
          <w:szCs w:val="22"/>
        </w:rPr>
        <w:t>Ownership of unincorporated businesses that are not substantially related to the fund's purposes is also prohibited.</w:t>
      </w:r>
    </w:p>
    <w:p w14:paraId="3D3A6747" w14:textId="77777777" w:rsidR="00A11E40" w:rsidRPr="0046218E" w:rsidRDefault="00A11E40" w:rsidP="00A11E40">
      <w:pPr>
        <w:kinsoku w:val="0"/>
        <w:overflowPunct w:val="0"/>
        <w:spacing w:before="239" w:line="269" w:lineRule="exact"/>
        <w:ind w:right="72"/>
        <w:textAlignment w:val="baseline"/>
        <w:rPr>
          <w:sz w:val="22"/>
          <w:szCs w:val="22"/>
        </w:rPr>
      </w:pPr>
      <w:r w:rsidRPr="0046218E">
        <w:rPr>
          <w:sz w:val="22"/>
          <w:szCs w:val="22"/>
        </w:rPr>
        <w:t>Donor advised funds receiving gifts of interests in a business enterprise after the date of the PPA's enactment (August 17, 2006) will have five years to divest holdings that are above the permitted amount, with the possibility of an additional five years if approved by the Secretary of the Treasury. Funds that currently hold such assets will have a much longer period to divest under the same complicated transition relief given to private foundations in 1969</w:t>
      </w:r>
      <w:r w:rsidRPr="0046218E">
        <w:rPr>
          <w:sz w:val="22"/>
          <w:szCs w:val="22"/>
          <w:vertAlign w:val="superscript"/>
        </w:rPr>
        <w:t>4</w:t>
      </w:r>
      <w:r w:rsidRPr="0046218E">
        <w:rPr>
          <w:sz w:val="22"/>
          <w:szCs w:val="22"/>
        </w:rPr>
        <w:t>.</w:t>
      </w:r>
    </w:p>
    <w:p w14:paraId="0498E5B7" w14:textId="77777777" w:rsidR="00A11E40" w:rsidRPr="0046218E" w:rsidRDefault="00A11E40" w:rsidP="00A11E40">
      <w:pPr>
        <w:kinsoku w:val="0"/>
        <w:overflowPunct w:val="0"/>
        <w:spacing w:before="269" w:line="260" w:lineRule="exact"/>
        <w:textAlignment w:val="baseline"/>
        <w:rPr>
          <w:b/>
          <w:bCs/>
          <w:spacing w:val="-4"/>
          <w:sz w:val="22"/>
          <w:szCs w:val="22"/>
        </w:rPr>
      </w:pPr>
      <w:r w:rsidRPr="0046218E">
        <w:rPr>
          <w:b/>
          <w:bCs/>
          <w:spacing w:val="-4"/>
          <w:sz w:val="22"/>
          <w:szCs w:val="22"/>
        </w:rPr>
        <w:t>What is a business enterprise?</w:t>
      </w:r>
    </w:p>
    <w:p w14:paraId="78B14590" w14:textId="77777777" w:rsidR="00A11E40" w:rsidRPr="0046218E" w:rsidRDefault="00A11E40" w:rsidP="00A11E40">
      <w:pPr>
        <w:kinsoku w:val="0"/>
        <w:overflowPunct w:val="0"/>
        <w:spacing w:before="4" w:line="251" w:lineRule="exact"/>
        <w:ind w:right="288"/>
        <w:textAlignment w:val="baseline"/>
        <w:rPr>
          <w:sz w:val="22"/>
          <w:szCs w:val="22"/>
        </w:rPr>
      </w:pPr>
      <w:r w:rsidRPr="0046218E">
        <w:rPr>
          <w:sz w:val="22"/>
          <w:szCs w:val="22"/>
        </w:rPr>
        <w:t>A "business enterprise" is the active conduct of a trade or business, including any activity which is regularly carried on for the production of income from the sale of goods or the performance of services. Specifically excluded from the definition are:</w:t>
      </w:r>
    </w:p>
    <w:p w14:paraId="43C6AC55" w14:textId="77777777" w:rsidR="00A11E40" w:rsidRPr="0046218E" w:rsidRDefault="00A11E40" w:rsidP="00A11E40">
      <w:pPr>
        <w:widowControl w:val="0"/>
        <w:numPr>
          <w:ilvl w:val="0"/>
          <w:numId w:val="11"/>
        </w:numPr>
        <w:kinsoku w:val="0"/>
        <w:overflowPunct w:val="0"/>
        <w:spacing w:before="267" w:line="256" w:lineRule="exact"/>
        <w:ind w:right="504"/>
        <w:jc w:val="both"/>
        <w:textAlignment w:val="baseline"/>
        <w:rPr>
          <w:sz w:val="22"/>
          <w:szCs w:val="22"/>
        </w:rPr>
      </w:pPr>
      <w:r w:rsidRPr="0046218E">
        <w:rPr>
          <w:sz w:val="22"/>
          <w:szCs w:val="22"/>
        </w:rPr>
        <w:t>Holdings that take the form of bonds or other debt instruments unless they are a disguised form of equity</w:t>
      </w:r>
    </w:p>
    <w:p w14:paraId="37CE1F02" w14:textId="77777777" w:rsidR="00A11E40" w:rsidRPr="0046218E" w:rsidRDefault="00A11E40" w:rsidP="00A11E40">
      <w:pPr>
        <w:widowControl w:val="0"/>
        <w:numPr>
          <w:ilvl w:val="0"/>
          <w:numId w:val="11"/>
        </w:numPr>
        <w:kinsoku w:val="0"/>
        <w:overflowPunct w:val="0"/>
        <w:spacing w:before="10" w:line="256" w:lineRule="exact"/>
        <w:jc w:val="both"/>
        <w:textAlignment w:val="baseline"/>
        <w:rPr>
          <w:spacing w:val="-3"/>
          <w:sz w:val="22"/>
          <w:szCs w:val="22"/>
        </w:rPr>
      </w:pPr>
      <w:r w:rsidRPr="0046218E">
        <w:rPr>
          <w:spacing w:val="-3"/>
          <w:sz w:val="22"/>
          <w:szCs w:val="22"/>
        </w:rPr>
        <w:t>Income from dividends, interest, royalties and from the sale of capital assets</w:t>
      </w:r>
    </w:p>
    <w:p w14:paraId="7988594E" w14:textId="77777777" w:rsidR="00A11E40" w:rsidRPr="0046218E" w:rsidRDefault="00A11E40" w:rsidP="00A11E40">
      <w:pPr>
        <w:widowControl w:val="0"/>
        <w:numPr>
          <w:ilvl w:val="0"/>
          <w:numId w:val="11"/>
        </w:numPr>
        <w:kinsoku w:val="0"/>
        <w:overflowPunct w:val="0"/>
        <w:spacing w:before="13" w:line="269" w:lineRule="exact"/>
        <w:jc w:val="both"/>
        <w:textAlignment w:val="baseline"/>
        <w:rPr>
          <w:sz w:val="22"/>
          <w:szCs w:val="22"/>
        </w:rPr>
      </w:pPr>
      <w:r w:rsidRPr="0046218E">
        <w:rPr>
          <w:sz w:val="22"/>
          <w:szCs w:val="22"/>
        </w:rPr>
        <w:t xml:space="preserve">Income from leases unless the income would be taxed </w:t>
      </w:r>
      <w:r w:rsidRPr="0046218E">
        <w:rPr>
          <w:b/>
          <w:bCs/>
          <w:sz w:val="22"/>
          <w:szCs w:val="22"/>
        </w:rPr>
        <w:t xml:space="preserve">as </w:t>
      </w:r>
      <w:r w:rsidRPr="0046218E">
        <w:rPr>
          <w:sz w:val="22"/>
          <w:szCs w:val="22"/>
        </w:rPr>
        <w:t>unrelated business income</w:t>
      </w:r>
    </w:p>
    <w:p w14:paraId="7ED6ED68" w14:textId="77777777" w:rsidR="00A11E40" w:rsidRPr="0046218E" w:rsidRDefault="00A11E40" w:rsidP="00A11E40">
      <w:pPr>
        <w:widowControl w:val="0"/>
        <w:numPr>
          <w:ilvl w:val="0"/>
          <w:numId w:val="11"/>
        </w:numPr>
        <w:kinsoku w:val="0"/>
        <w:overflowPunct w:val="0"/>
        <w:spacing w:before="1" w:line="269" w:lineRule="exact"/>
        <w:jc w:val="both"/>
        <w:textAlignment w:val="baseline"/>
        <w:rPr>
          <w:sz w:val="22"/>
          <w:szCs w:val="22"/>
        </w:rPr>
      </w:pPr>
      <w:r w:rsidRPr="0046218E">
        <w:rPr>
          <w:sz w:val="22"/>
          <w:szCs w:val="22"/>
        </w:rPr>
        <w:t>"Functionally-related" businesses and program-related investments</w:t>
      </w:r>
    </w:p>
    <w:p w14:paraId="165EBA86" w14:textId="77777777" w:rsidR="00A11E40" w:rsidRPr="0046218E" w:rsidRDefault="00A11E40" w:rsidP="00A11E40">
      <w:pPr>
        <w:widowControl w:val="0"/>
        <w:numPr>
          <w:ilvl w:val="0"/>
          <w:numId w:val="11"/>
        </w:numPr>
        <w:kinsoku w:val="0"/>
        <w:overflowPunct w:val="0"/>
        <w:spacing w:before="27" w:line="252" w:lineRule="exact"/>
        <w:ind w:right="144"/>
        <w:textAlignment w:val="baseline"/>
        <w:rPr>
          <w:spacing w:val="-5"/>
          <w:sz w:val="22"/>
          <w:szCs w:val="22"/>
        </w:rPr>
      </w:pPr>
      <w:r w:rsidRPr="0046218E">
        <w:rPr>
          <w:spacing w:val="-5"/>
          <w:sz w:val="22"/>
          <w:szCs w:val="22"/>
        </w:rPr>
        <w:t>Businesses that derive at least 95 percent of their income from passive sources (dividends, interest, rent, royalties, capital gains). This will have the effect of excluding gifts of interests in most family limited partnerships, and other types of holding company arrangements.</w:t>
      </w:r>
    </w:p>
    <w:p w14:paraId="4B267761" w14:textId="77777777" w:rsidR="00A11E40" w:rsidRPr="0046218E" w:rsidRDefault="00A11E40" w:rsidP="00A11E40">
      <w:pPr>
        <w:kinsoku w:val="0"/>
        <w:overflowPunct w:val="0"/>
        <w:spacing w:before="250" w:line="240" w:lineRule="exact"/>
        <w:textAlignment w:val="baseline"/>
        <w:rPr>
          <w:b/>
          <w:bCs/>
          <w:spacing w:val="-1"/>
          <w:sz w:val="22"/>
          <w:szCs w:val="22"/>
        </w:rPr>
      </w:pPr>
      <w:r w:rsidRPr="0046218E">
        <w:rPr>
          <w:b/>
          <w:bCs/>
          <w:spacing w:val="-1"/>
          <w:sz w:val="22"/>
          <w:szCs w:val="22"/>
        </w:rPr>
        <w:t xml:space="preserve">What is </w:t>
      </w:r>
      <w:r w:rsidRPr="0046218E">
        <w:rPr>
          <w:b/>
          <w:spacing w:val="-1"/>
          <w:sz w:val="22"/>
          <w:szCs w:val="22"/>
        </w:rPr>
        <w:t xml:space="preserve">a disqualified </w:t>
      </w:r>
      <w:r w:rsidRPr="0046218E">
        <w:rPr>
          <w:b/>
          <w:bCs/>
          <w:spacing w:val="-1"/>
          <w:sz w:val="22"/>
          <w:szCs w:val="22"/>
        </w:rPr>
        <w:t>person?</w:t>
      </w:r>
    </w:p>
    <w:p w14:paraId="1DBE8FC5" w14:textId="77777777" w:rsidR="00A11E40" w:rsidRPr="0046218E" w:rsidRDefault="00A11E40" w:rsidP="00A11E40">
      <w:pPr>
        <w:kinsoku w:val="0"/>
        <w:overflowPunct w:val="0"/>
        <w:spacing w:line="254" w:lineRule="exact"/>
        <w:ind w:right="216"/>
        <w:textAlignment w:val="baseline"/>
        <w:rPr>
          <w:spacing w:val="-4"/>
          <w:sz w:val="22"/>
          <w:szCs w:val="22"/>
        </w:rPr>
      </w:pPr>
      <w:r w:rsidRPr="0046218E">
        <w:rPr>
          <w:spacing w:val="-4"/>
          <w:sz w:val="22"/>
          <w:szCs w:val="22"/>
        </w:rPr>
        <w:t>Donors and persons appointed or designated by donors are disqualified persons if they have—or reasonably expect to have—advisory privileges with respect to the donor-advised fund by virtue of their status as donors. Members of donors' and advisors' families are also disqualified, but the section does not define "family" and does not cross-reference either section 4958 or 4946 for the definition. Finally, the term includes 35-percent-controlled entities as defined in section 4958(0(3).</w:t>
      </w:r>
    </w:p>
    <w:p w14:paraId="329E2FA4" w14:textId="77777777" w:rsidR="00A11E40" w:rsidRDefault="00A11E40" w:rsidP="00A11E40">
      <w:pPr>
        <w:rPr>
          <w:sz w:val="22"/>
          <w:szCs w:val="22"/>
        </w:rPr>
      </w:pPr>
    </w:p>
    <w:p w14:paraId="79966D75" w14:textId="77777777" w:rsidR="00A11E40" w:rsidRPr="0046218E" w:rsidRDefault="00A11E40" w:rsidP="00A11E40">
      <w:pPr>
        <w:kinsoku w:val="0"/>
        <w:overflowPunct w:val="0"/>
        <w:textAlignment w:val="baseline"/>
        <w:rPr>
          <w:spacing w:val="9"/>
          <w:sz w:val="22"/>
          <w:szCs w:val="22"/>
        </w:rPr>
      </w:pPr>
      <w:r w:rsidRPr="0046218E">
        <w:rPr>
          <w:spacing w:val="9"/>
          <w:sz w:val="22"/>
          <w:szCs w:val="22"/>
        </w:rPr>
        <w:t xml:space="preserve">Centre Foundation Policy with regard to assets categorized under the PPA as "excess business holdings" </w:t>
      </w:r>
    </w:p>
    <w:p w14:paraId="1AF21B44" w14:textId="77777777" w:rsidR="00A11E40" w:rsidRPr="0046218E" w:rsidRDefault="00A11E40" w:rsidP="00A11E40">
      <w:pPr>
        <w:numPr>
          <w:ilvl w:val="0"/>
          <w:numId w:val="12"/>
        </w:numPr>
        <w:kinsoku w:val="0"/>
        <w:overflowPunct w:val="0"/>
        <w:textAlignment w:val="baseline"/>
        <w:rPr>
          <w:spacing w:val="9"/>
          <w:sz w:val="22"/>
          <w:szCs w:val="22"/>
        </w:rPr>
      </w:pPr>
      <w:r w:rsidRPr="0046218E">
        <w:rPr>
          <w:spacing w:val="9"/>
          <w:sz w:val="22"/>
          <w:szCs w:val="22"/>
        </w:rPr>
        <w:t xml:space="preserve">CF will identify and monitor any new gift to a donor advised fund of any interest qualifying as an "excess business holding" under the PPA. </w:t>
      </w:r>
    </w:p>
    <w:p w14:paraId="550CB99F" w14:textId="77777777" w:rsidR="00A11E40" w:rsidRPr="0046218E" w:rsidRDefault="00A11E40" w:rsidP="00A11E40">
      <w:pPr>
        <w:numPr>
          <w:ilvl w:val="0"/>
          <w:numId w:val="12"/>
        </w:numPr>
        <w:kinsoku w:val="0"/>
        <w:overflowPunct w:val="0"/>
        <w:textAlignment w:val="baseline"/>
        <w:rPr>
          <w:spacing w:val="9"/>
          <w:sz w:val="22"/>
          <w:szCs w:val="22"/>
        </w:rPr>
      </w:pPr>
      <w:r w:rsidRPr="0046218E">
        <w:rPr>
          <w:spacing w:val="9"/>
          <w:sz w:val="22"/>
          <w:szCs w:val="22"/>
        </w:rPr>
        <w:t xml:space="preserve">CF will exercise its best effort to dispose of the contributed interest at the best possible price within five years of the date of the gift, as required under the PPA. In any event, CCCF will dispose of any excess business holding prior to the five year time limit, except in the event that the Treasury Department grants an additional five year holding period. </w:t>
      </w:r>
    </w:p>
    <w:p w14:paraId="6439F242" w14:textId="77777777" w:rsidR="00A11E40" w:rsidRDefault="00A11E40" w:rsidP="00A11E40">
      <w:pPr>
        <w:numPr>
          <w:ilvl w:val="0"/>
          <w:numId w:val="12"/>
        </w:numPr>
        <w:kinsoku w:val="0"/>
        <w:overflowPunct w:val="0"/>
        <w:textAlignment w:val="baseline"/>
        <w:rPr>
          <w:spacing w:val="9"/>
          <w:sz w:val="22"/>
          <w:szCs w:val="22"/>
        </w:rPr>
      </w:pPr>
      <w:r w:rsidRPr="0046218E">
        <w:rPr>
          <w:spacing w:val="9"/>
          <w:sz w:val="22"/>
          <w:szCs w:val="22"/>
        </w:rPr>
        <w:t>CF will notify potential donors of such interests of this requirement prior to the contribution of such interest.</w:t>
      </w:r>
    </w:p>
    <w:p w14:paraId="1E0FC497" w14:textId="77777777" w:rsidR="006F42A4" w:rsidRDefault="006F42A4" w:rsidP="006F42A4">
      <w:pPr>
        <w:kinsoku w:val="0"/>
        <w:overflowPunct w:val="0"/>
        <w:textAlignment w:val="baseline"/>
        <w:rPr>
          <w:spacing w:val="9"/>
          <w:sz w:val="22"/>
          <w:szCs w:val="22"/>
        </w:rPr>
      </w:pPr>
    </w:p>
    <w:p w14:paraId="5DF59CEF" w14:textId="77777777" w:rsidR="006F42A4" w:rsidRDefault="006F42A4" w:rsidP="006F42A4">
      <w:pPr>
        <w:kinsoku w:val="0"/>
        <w:overflowPunct w:val="0"/>
        <w:textAlignment w:val="baseline"/>
        <w:rPr>
          <w:spacing w:val="9"/>
          <w:sz w:val="22"/>
          <w:szCs w:val="22"/>
        </w:rPr>
      </w:pPr>
    </w:p>
    <w:p w14:paraId="329272FD" w14:textId="77777777" w:rsidR="006F42A4" w:rsidRPr="0046218E" w:rsidRDefault="006F42A4" w:rsidP="006F42A4">
      <w:pPr>
        <w:kinsoku w:val="0"/>
        <w:overflowPunct w:val="0"/>
        <w:textAlignment w:val="baseline"/>
        <w:rPr>
          <w:spacing w:val="9"/>
          <w:sz w:val="22"/>
          <w:szCs w:val="22"/>
        </w:rPr>
      </w:pPr>
    </w:p>
    <w:p w14:paraId="3752188C" w14:textId="77777777" w:rsidR="00A11E40" w:rsidRPr="005D0635" w:rsidRDefault="00A11E40" w:rsidP="00A11E40">
      <w:pPr>
        <w:kinsoku w:val="0"/>
        <w:overflowPunct w:val="0"/>
        <w:spacing w:line="219" w:lineRule="exact"/>
        <w:textAlignment w:val="baseline"/>
        <w:rPr>
          <w:sz w:val="22"/>
          <w:szCs w:val="22"/>
        </w:rPr>
      </w:pPr>
    </w:p>
    <w:p w14:paraId="63847505" w14:textId="77777777" w:rsidR="00A11E40" w:rsidRDefault="00A11E40" w:rsidP="00A11E40">
      <w:pPr>
        <w:kinsoku w:val="0"/>
        <w:overflowPunct w:val="0"/>
        <w:spacing w:line="219" w:lineRule="exact"/>
        <w:textAlignment w:val="baseline"/>
        <w:rPr>
          <w:sz w:val="18"/>
          <w:szCs w:val="18"/>
        </w:rPr>
      </w:pPr>
      <w:r w:rsidRPr="005D0635">
        <w:rPr>
          <w:sz w:val="18"/>
          <w:szCs w:val="18"/>
          <w:vertAlign w:val="superscript"/>
        </w:rPr>
        <w:lastRenderedPageBreak/>
        <w:t xml:space="preserve">1 </w:t>
      </w:r>
      <w:r w:rsidRPr="005D0635">
        <w:rPr>
          <w:sz w:val="18"/>
          <w:szCs w:val="18"/>
        </w:rPr>
        <w:t>The language is clear that it is only the donor advised fund—not the sponsoring charity—that is to be treated as a private foundation. Accordingly, it appears that this section does not apply to assets held by the sponsoring charity's investment pools, or assets held by funds that are not donor advised.</w:t>
      </w:r>
    </w:p>
    <w:p w14:paraId="6B8A2990" w14:textId="77777777" w:rsidR="00A11E40" w:rsidRPr="005D0635" w:rsidRDefault="00A11E40" w:rsidP="00A11E40">
      <w:pPr>
        <w:kinsoku w:val="0"/>
        <w:overflowPunct w:val="0"/>
        <w:spacing w:line="109" w:lineRule="exact"/>
        <w:textAlignment w:val="baseline"/>
        <w:rPr>
          <w:sz w:val="18"/>
          <w:szCs w:val="18"/>
        </w:rPr>
      </w:pPr>
    </w:p>
    <w:p w14:paraId="2E6976F8" w14:textId="77777777" w:rsidR="00A11E40" w:rsidRPr="005D0635" w:rsidRDefault="006F42A4" w:rsidP="006F42A4">
      <w:pPr>
        <w:kinsoku w:val="0"/>
        <w:overflowPunct w:val="0"/>
        <w:spacing w:line="205" w:lineRule="exact"/>
        <w:ind w:right="288"/>
        <w:textAlignment w:val="baseline"/>
        <w:rPr>
          <w:sz w:val="18"/>
          <w:szCs w:val="18"/>
        </w:rPr>
      </w:pPr>
      <w:r w:rsidRPr="006F42A4">
        <w:rPr>
          <w:sz w:val="18"/>
          <w:szCs w:val="18"/>
          <w:vertAlign w:val="superscript"/>
        </w:rPr>
        <w:t>2</w:t>
      </w:r>
      <w:r>
        <w:rPr>
          <w:sz w:val="18"/>
          <w:szCs w:val="18"/>
        </w:rPr>
        <w:t xml:space="preserve"> </w:t>
      </w:r>
      <w:r w:rsidR="00A11E40" w:rsidRPr="005D0635">
        <w:rPr>
          <w:sz w:val="18"/>
          <w:szCs w:val="18"/>
        </w:rPr>
        <w:t>Thirty-five percent if it can be shown that persons who are not disqualified persons have effective control of the business.</w:t>
      </w:r>
    </w:p>
    <w:p w14:paraId="1F05D319" w14:textId="77777777" w:rsidR="00A11E40" w:rsidRPr="005D0635" w:rsidRDefault="00A11E40" w:rsidP="00A11E40">
      <w:pPr>
        <w:kinsoku w:val="0"/>
        <w:overflowPunct w:val="0"/>
        <w:spacing w:line="111" w:lineRule="exact"/>
        <w:textAlignment w:val="baseline"/>
        <w:rPr>
          <w:sz w:val="18"/>
          <w:szCs w:val="18"/>
        </w:rPr>
      </w:pPr>
    </w:p>
    <w:p w14:paraId="3D80391A" w14:textId="77777777" w:rsidR="00A11E40" w:rsidRPr="005D0635" w:rsidRDefault="006F42A4" w:rsidP="006F42A4">
      <w:pPr>
        <w:kinsoku w:val="0"/>
        <w:overflowPunct w:val="0"/>
        <w:spacing w:line="215" w:lineRule="exact"/>
        <w:textAlignment w:val="baseline"/>
        <w:rPr>
          <w:spacing w:val="-3"/>
          <w:sz w:val="18"/>
          <w:szCs w:val="18"/>
        </w:rPr>
      </w:pPr>
      <w:r w:rsidRPr="006F42A4">
        <w:rPr>
          <w:spacing w:val="-3"/>
          <w:sz w:val="18"/>
          <w:szCs w:val="18"/>
          <w:vertAlign w:val="superscript"/>
        </w:rPr>
        <w:t>3</w:t>
      </w:r>
      <w:r>
        <w:rPr>
          <w:spacing w:val="-3"/>
          <w:sz w:val="18"/>
          <w:szCs w:val="18"/>
        </w:rPr>
        <w:t xml:space="preserve"> </w:t>
      </w:r>
      <w:r w:rsidR="00A11E40" w:rsidRPr="005D0635">
        <w:rPr>
          <w:spacing w:val="-3"/>
          <w:sz w:val="18"/>
          <w:szCs w:val="18"/>
        </w:rPr>
        <w:t xml:space="preserve">Additionally, the donor advised fund will be barred from holding non-voting stock of an incorporated business unless the disqualified persons collectively own less than 20 percent of the voting stock. Under the </w:t>
      </w:r>
      <w:r w:rsidR="00A11E40" w:rsidRPr="005D0635">
        <w:rPr>
          <w:i/>
          <w:iCs/>
          <w:spacing w:val="-3"/>
          <w:sz w:val="18"/>
          <w:szCs w:val="18"/>
        </w:rPr>
        <w:t xml:space="preserve">de </w:t>
      </w:r>
      <w:proofErr w:type="spellStart"/>
      <w:r w:rsidR="00A11E40" w:rsidRPr="005D0635">
        <w:rPr>
          <w:i/>
          <w:iCs/>
          <w:spacing w:val="-3"/>
          <w:sz w:val="18"/>
          <w:szCs w:val="18"/>
        </w:rPr>
        <w:t>mininds</w:t>
      </w:r>
      <w:proofErr w:type="spellEnd"/>
      <w:r w:rsidR="00A11E40" w:rsidRPr="005D0635">
        <w:rPr>
          <w:i/>
          <w:iCs/>
          <w:spacing w:val="-3"/>
          <w:sz w:val="18"/>
          <w:szCs w:val="18"/>
        </w:rPr>
        <w:t xml:space="preserve"> </w:t>
      </w:r>
      <w:r w:rsidR="00A11E40" w:rsidRPr="005D0635">
        <w:rPr>
          <w:spacing w:val="-3"/>
          <w:sz w:val="18"/>
          <w:szCs w:val="18"/>
        </w:rPr>
        <w:t>rule, the donor-advised fund could continue to hold an interest that did not exceed two percent of the voting stock and two percent of the value. Additional rules apply to cover situations such as mergers, redemptions, and acquisitions.</w:t>
      </w:r>
    </w:p>
    <w:p w14:paraId="7B1B7E2C" w14:textId="77777777" w:rsidR="00A11E40" w:rsidRPr="005D0635" w:rsidRDefault="006F42A4" w:rsidP="00A11E40">
      <w:pPr>
        <w:kinsoku w:val="0"/>
        <w:overflowPunct w:val="0"/>
        <w:spacing w:line="220" w:lineRule="exact"/>
        <w:textAlignment w:val="baseline"/>
        <w:rPr>
          <w:spacing w:val="-4"/>
          <w:sz w:val="18"/>
          <w:szCs w:val="18"/>
        </w:rPr>
      </w:pPr>
      <w:r w:rsidRPr="006F42A4">
        <w:rPr>
          <w:spacing w:val="-4"/>
          <w:sz w:val="18"/>
          <w:szCs w:val="18"/>
          <w:vertAlign w:val="superscript"/>
        </w:rPr>
        <w:t>4</w:t>
      </w:r>
      <w:r w:rsidR="00A11E40" w:rsidRPr="006F42A4">
        <w:rPr>
          <w:spacing w:val="-4"/>
          <w:sz w:val="18"/>
          <w:szCs w:val="18"/>
          <w:vertAlign w:val="superscript"/>
        </w:rPr>
        <w:t xml:space="preserve"> </w:t>
      </w:r>
      <w:r w:rsidR="00A11E40" w:rsidRPr="005D0635">
        <w:rPr>
          <w:spacing w:val="-4"/>
          <w:sz w:val="18"/>
          <w:szCs w:val="18"/>
        </w:rPr>
        <w:t>Excess holdings acquired by purchase must be disposed of immediately. If purchases by disqualified persons cause the donor advised fund to have excess holdings, the donor advised fund will have 90 days to dispose of the excess.</w:t>
      </w:r>
    </w:p>
    <w:p w14:paraId="68C4551E" w14:textId="77777777" w:rsidR="00E10898" w:rsidRPr="00E10898" w:rsidRDefault="00E10898" w:rsidP="00A11E40">
      <w:pPr>
        <w:ind w:left="360"/>
      </w:pPr>
    </w:p>
    <w:sectPr w:rsidR="00E10898" w:rsidRPr="00E10898" w:rsidSect="0046218E">
      <w:footerReference w:type="even" r:id="rId7"/>
      <w:footerReference w:type="default" r:id="rId8"/>
      <w:pgSz w:w="12240" w:h="15840" w:code="1"/>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BA6A" w14:textId="77777777" w:rsidR="003F13D1" w:rsidRDefault="003F13D1">
      <w:r>
        <w:separator/>
      </w:r>
    </w:p>
  </w:endnote>
  <w:endnote w:type="continuationSeparator" w:id="0">
    <w:p w14:paraId="4D70BA29" w14:textId="77777777" w:rsidR="003F13D1" w:rsidRDefault="003F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4864" w14:textId="77777777" w:rsidR="008C7A20" w:rsidRDefault="008C7A20" w:rsidP="008A6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8DB1A" w14:textId="77777777" w:rsidR="008C7A20" w:rsidRDefault="008C7A20" w:rsidP="00C47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46CE" w14:textId="77777777" w:rsidR="008C7A20" w:rsidRDefault="008C7A20" w:rsidP="00606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5E2">
      <w:rPr>
        <w:rStyle w:val="PageNumber"/>
        <w:noProof/>
      </w:rPr>
      <w:t>3</w:t>
    </w:r>
    <w:r>
      <w:rPr>
        <w:rStyle w:val="PageNumber"/>
      </w:rPr>
      <w:fldChar w:fldCharType="end"/>
    </w:r>
  </w:p>
  <w:p w14:paraId="0D7A2B8C" w14:textId="77777777" w:rsidR="008C7A20" w:rsidRPr="00BA6615" w:rsidRDefault="008C7A20" w:rsidP="00C47FD7">
    <w:pPr>
      <w:pStyle w:val="Footer"/>
      <w:ind w:right="360"/>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4CDF" w14:textId="77777777" w:rsidR="003F13D1" w:rsidRDefault="003F13D1">
      <w:r>
        <w:separator/>
      </w:r>
    </w:p>
  </w:footnote>
  <w:footnote w:type="continuationSeparator" w:id="0">
    <w:p w14:paraId="6215F977" w14:textId="77777777" w:rsidR="003F13D1" w:rsidRDefault="003F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8102"/>
    <w:multiLevelType w:val="singleLevel"/>
    <w:tmpl w:val="0B81F5DF"/>
    <w:lvl w:ilvl="0">
      <w:numFmt w:val="bullet"/>
      <w:lvlText w:val="·"/>
      <w:lvlJc w:val="left"/>
      <w:pPr>
        <w:tabs>
          <w:tab w:val="num" w:pos="576"/>
        </w:tabs>
        <w:ind w:left="720" w:hanging="432"/>
      </w:pPr>
      <w:rPr>
        <w:rFonts w:ascii="Symbol" w:hAnsi="Symbol" w:cs="Symbol"/>
        <w:snapToGrid/>
        <w:spacing w:val="-1"/>
        <w:sz w:val="23"/>
        <w:szCs w:val="23"/>
      </w:rPr>
    </w:lvl>
  </w:abstractNum>
  <w:abstractNum w:abstractNumId="1" w15:restartNumberingAfterBreak="0">
    <w:nsid w:val="163C1E2F"/>
    <w:multiLevelType w:val="hybridMultilevel"/>
    <w:tmpl w:val="434082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9C05A3"/>
    <w:multiLevelType w:val="hybridMultilevel"/>
    <w:tmpl w:val="CCA2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90D28"/>
    <w:multiLevelType w:val="multilevel"/>
    <w:tmpl w:val="6128C50C"/>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A07AA6"/>
    <w:multiLevelType w:val="multilevel"/>
    <w:tmpl w:val="6DBE9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B34428"/>
    <w:multiLevelType w:val="hybridMultilevel"/>
    <w:tmpl w:val="D2906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702E9"/>
    <w:multiLevelType w:val="hybridMultilevel"/>
    <w:tmpl w:val="86D40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02063"/>
    <w:multiLevelType w:val="multilevel"/>
    <w:tmpl w:val="01021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F26FEB"/>
    <w:multiLevelType w:val="hybridMultilevel"/>
    <w:tmpl w:val="A6465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A464B3A"/>
    <w:multiLevelType w:val="hybridMultilevel"/>
    <w:tmpl w:val="62F26CBE"/>
    <w:lvl w:ilvl="0" w:tplc="04090013">
      <w:start w:val="1"/>
      <w:numFmt w:val="upperRoman"/>
      <w:lvlText w:val="%1."/>
      <w:lvlJc w:val="right"/>
      <w:pPr>
        <w:tabs>
          <w:tab w:val="num" w:pos="2880"/>
        </w:tabs>
        <w:ind w:left="2880" w:hanging="18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F89186D"/>
    <w:multiLevelType w:val="hybridMultilevel"/>
    <w:tmpl w:val="6DDC0A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152600"/>
    <w:multiLevelType w:val="hybridMultilevel"/>
    <w:tmpl w:val="BA62C1A6"/>
    <w:lvl w:ilvl="0" w:tplc="04090013">
      <w:start w:val="1"/>
      <w:numFmt w:val="upperRoman"/>
      <w:lvlText w:val="%1."/>
      <w:lvlJc w:val="right"/>
      <w:pPr>
        <w:tabs>
          <w:tab w:val="num" w:pos="540"/>
        </w:tabs>
        <w:ind w:left="540" w:hanging="180"/>
      </w:pPr>
    </w:lvl>
    <w:lvl w:ilvl="1" w:tplc="95A41CA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5C414C"/>
    <w:multiLevelType w:val="hybridMultilevel"/>
    <w:tmpl w:val="22B6EE72"/>
    <w:lvl w:ilvl="0" w:tplc="04090015">
      <w:start w:val="1"/>
      <w:numFmt w:val="upperLetter"/>
      <w:lvlText w:val="%1."/>
      <w:lvlJc w:val="left"/>
      <w:pPr>
        <w:tabs>
          <w:tab w:val="num" w:pos="720"/>
        </w:tabs>
        <w:ind w:left="720" w:hanging="360"/>
      </w:pPr>
    </w:lvl>
    <w:lvl w:ilvl="1" w:tplc="46E88908">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
  </w:num>
  <w:num w:numId="4">
    <w:abstractNumId w:val="1"/>
  </w:num>
  <w:num w:numId="5">
    <w:abstractNumId w:val="12"/>
  </w:num>
  <w:num w:numId="6">
    <w:abstractNumId w:val="8"/>
  </w:num>
  <w:num w:numId="7">
    <w:abstractNumId w:val="5"/>
  </w:num>
  <w:num w:numId="8">
    <w:abstractNumId w:val="4"/>
  </w:num>
  <w:num w:numId="9">
    <w:abstractNumId w:val="10"/>
  </w:num>
  <w:num w:numId="10">
    <w:abstractNumId w:val="9"/>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5D2"/>
    <w:rsid w:val="00010EEE"/>
    <w:rsid w:val="0002078D"/>
    <w:rsid w:val="00020CC5"/>
    <w:rsid w:val="00023805"/>
    <w:rsid w:val="00030F2D"/>
    <w:rsid w:val="00035938"/>
    <w:rsid w:val="000370CA"/>
    <w:rsid w:val="0004214C"/>
    <w:rsid w:val="00043C56"/>
    <w:rsid w:val="00046177"/>
    <w:rsid w:val="00047F0B"/>
    <w:rsid w:val="000521F5"/>
    <w:rsid w:val="00052324"/>
    <w:rsid w:val="0005339B"/>
    <w:rsid w:val="00056671"/>
    <w:rsid w:val="00075BA9"/>
    <w:rsid w:val="000771E3"/>
    <w:rsid w:val="0008126F"/>
    <w:rsid w:val="00082663"/>
    <w:rsid w:val="00084937"/>
    <w:rsid w:val="00084AE3"/>
    <w:rsid w:val="000953BE"/>
    <w:rsid w:val="000A732F"/>
    <w:rsid w:val="000B0665"/>
    <w:rsid w:val="000B1BC1"/>
    <w:rsid w:val="000C518A"/>
    <w:rsid w:val="000C704B"/>
    <w:rsid w:val="000E1D06"/>
    <w:rsid w:val="000E45B1"/>
    <w:rsid w:val="000E6675"/>
    <w:rsid w:val="000E6C57"/>
    <w:rsid w:val="000F36BB"/>
    <w:rsid w:val="0011656C"/>
    <w:rsid w:val="001218A6"/>
    <w:rsid w:val="001244EE"/>
    <w:rsid w:val="00126E38"/>
    <w:rsid w:val="00133742"/>
    <w:rsid w:val="0013764E"/>
    <w:rsid w:val="0013782F"/>
    <w:rsid w:val="0013791B"/>
    <w:rsid w:val="00140CF9"/>
    <w:rsid w:val="0014304E"/>
    <w:rsid w:val="001456D9"/>
    <w:rsid w:val="00146293"/>
    <w:rsid w:val="00147EA6"/>
    <w:rsid w:val="00152242"/>
    <w:rsid w:val="00154EA8"/>
    <w:rsid w:val="001562E1"/>
    <w:rsid w:val="0015677D"/>
    <w:rsid w:val="00156E25"/>
    <w:rsid w:val="00157C3D"/>
    <w:rsid w:val="0016776C"/>
    <w:rsid w:val="00180D27"/>
    <w:rsid w:val="00191575"/>
    <w:rsid w:val="0019322F"/>
    <w:rsid w:val="001A3997"/>
    <w:rsid w:val="001A3F15"/>
    <w:rsid w:val="001A5C63"/>
    <w:rsid w:val="001B0B29"/>
    <w:rsid w:val="001B4382"/>
    <w:rsid w:val="001B4AEC"/>
    <w:rsid w:val="001B6BCE"/>
    <w:rsid w:val="001C2528"/>
    <w:rsid w:val="001C29DA"/>
    <w:rsid w:val="001C3F91"/>
    <w:rsid w:val="001C68FF"/>
    <w:rsid w:val="001D2C53"/>
    <w:rsid w:val="001D2F88"/>
    <w:rsid w:val="001D5828"/>
    <w:rsid w:val="001E157C"/>
    <w:rsid w:val="001E56D3"/>
    <w:rsid w:val="001F0696"/>
    <w:rsid w:val="001F0B68"/>
    <w:rsid w:val="001F5FF2"/>
    <w:rsid w:val="00200977"/>
    <w:rsid w:val="00212B42"/>
    <w:rsid w:val="00214C60"/>
    <w:rsid w:val="0021713D"/>
    <w:rsid w:val="002172FC"/>
    <w:rsid w:val="00224FB2"/>
    <w:rsid w:val="00226840"/>
    <w:rsid w:val="00227855"/>
    <w:rsid w:val="00231F7D"/>
    <w:rsid w:val="00232E4F"/>
    <w:rsid w:val="002356FD"/>
    <w:rsid w:val="00240D66"/>
    <w:rsid w:val="002410DF"/>
    <w:rsid w:val="002412DC"/>
    <w:rsid w:val="002542C0"/>
    <w:rsid w:val="0025615E"/>
    <w:rsid w:val="0025642C"/>
    <w:rsid w:val="00262AD0"/>
    <w:rsid w:val="00267EA5"/>
    <w:rsid w:val="00271569"/>
    <w:rsid w:val="00276B15"/>
    <w:rsid w:val="00276FBF"/>
    <w:rsid w:val="002804E5"/>
    <w:rsid w:val="00280B3E"/>
    <w:rsid w:val="00280CC6"/>
    <w:rsid w:val="002A4623"/>
    <w:rsid w:val="002A5515"/>
    <w:rsid w:val="002A670F"/>
    <w:rsid w:val="002A6D0B"/>
    <w:rsid w:val="002B6C89"/>
    <w:rsid w:val="002B7D79"/>
    <w:rsid w:val="002C4469"/>
    <w:rsid w:val="002D13BE"/>
    <w:rsid w:val="002D33C3"/>
    <w:rsid w:val="002E07B8"/>
    <w:rsid w:val="002E0AE6"/>
    <w:rsid w:val="002F19BF"/>
    <w:rsid w:val="002F2F5E"/>
    <w:rsid w:val="002F42B3"/>
    <w:rsid w:val="002F707D"/>
    <w:rsid w:val="00301989"/>
    <w:rsid w:val="00302BF8"/>
    <w:rsid w:val="00307428"/>
    <w:rsid w:val="00311B54"/>
    <w:rsid w:val="00313B2D"/>
    <w:rsid w:val="003146DD"/>
    <w:rsid w:val="003245CE"/>
    <w:rsid w:val="00332FCD"/>
    <w:rsid w:val="00335088"/>
    <w:rsid w:val="00340811"/>
    <w:rsid w:val="00343BCE"/>
    <w:rsid w:val="0034518C"/>
    <w:rsid w:val="00346411"/>
    <w:rsid w:val="00346BBB"/>
    <w:rsid w:val="003518D8"/>
    <w:rsid w:val="00351939"/>
    <w:rsid w:val="00355166"/>
    <w:rsid w:val="0035650C"/>
    <w:rsid w:val="00364B0C"/>
    <w:rsid w:val="00372410"/>
    <w:rsid w:val="0037511B"/>
    <w:rsid w:val="00377756"/>
    <w:rsid w:val="00380FB1"/>
    <w:rsid w:val="003923B1"/>
    <w:rsid w:val="00392B9A"/>
    <w:rsid w:val="0039327E"/>
    <w:rsid w:val="003A172D"/>
    <w:rsid w:val="003A1A43"/>
    <w:rsid w:val="003A4485"/>
    <w:rsid w:val="003B2F39"/>
    <w:rsid w:val="003C0C8A"/>
    <w:rsid w:val="003C33C1"/>
    <w:rsid w:val="003C5E98"/>
    <w:rsid w:val="003D283C"/>
    <w:rsid w:val="003D6DF3"/>
    <w:rsid w:val="003E1A54"/>
    <w:rsid w:val="003E7D30"/>
    <w:rsid w:val="003F1035"/>
    <w:rsid w:val="003F13D1"/>
    <w:rsid w:val="003F3D73"/>
    <w:rsid w:val="003F7E6E"/>
    <w:rsid w:val="0040022E"/>
    <w:rsid w:val="00403FC1"/>
    <w:rsid w:val="00404BB5"/>
    <w:rsid w:val="00405023"/>
    <w:rsid w:val="004102B8"/>
    <w:rsid w:val="004109CD"/>
    <w:rsid w:val="0041189F"/>
    <w:rsid w:val="00423307"/>
    <w:rsid w:val="004248D7"/>
    <w:rsid w:val="004375CD"/>
    <w:rsid w:val="00440607"/>
    <w:rsid w:val="00441ADD"/>
    <w:rsid w:val="00450117"/>
    <w:rsid w:val="00454BCD"/>
    <w:rsid w:val="00457388"/>
    <w:rsid w:val="00460686"/>
    <w:rsid w:val="004612F0"/>
    <w:rsid w:val="0046218E"/>
    <w:rsid w:val="00463FD9"/>
    <w:rsid w:val="00472688"/>
    <w:rsid w:val="00473C8B"/>
    <w:rsid w:val="00477DB2"/>
    <w:rsid w:val="00491C09"/>
    <w:rsid w:val="00491C86"/>
    <w:rsid w:val="00492EE3"/>
    <w:rsid w:val="0049592E"/>
    <w:rsid w:val="00495939"/>
    <w:rsid w:val="004A0C28"/>
    <w:rsid w:val="004A5EA4"/>
    <w:rsid w:val="004B3901"/>
    <w:rsid w:val="004B57D4"/>
    <w:rsid w:val="004C4D6C"/>
    <w:rsid w:val="004C5CE2"/>
    <w:rsid w:val="004C7969"/>
    <w:rsid w:val="004E3AEF"/>
    <w:rsid w:val="004E42DC"/>
    <w:rsid w:val="004E64DF"/>
    <w:rsid w:val="004E6A43"/>
    <w:rsid w:val="00506E70"/>
    <w:rsid w:val="005100AB"/>
    <w:rsid w:val="005152A9"/>
    <w:rsid w:val="005153AD"/>
    <w:rsid w:val="005264EC"/>
    <w:rsid w:val="005315DD"/>
    <w:rsid w:val="00531826"/>
    <w:rsid w:val="0053376D"/>
    <w:rsid w:val="005346D2"/>
    <w:rsid w:val="005367C1"/>
    <w:rsid w:val="00537F9A"/>
    <w:rsid w:val="00541B9D"/>
    <w:rsid w:val="00544B92"/>
    <w:rsid w:val="00547B83"/>
    <w:rsid w:val="00547F5C"/>
    <w:rsid w:val="00553B60"/>
    <w:rsid w:val="00561E6D"/>
    <w:rsid w:val="00583194"/>
    <w:rsid w:val="00583B50"/>
    <w:rsid w:val="00594A9E"/>
    <w:rsid w:val="00595DFE"/>
    <w:rsid w:val="005969EB"/>
    <w:rsid w:val="005A76C7"/>
    <w:rsid w:val="005B3348"/>
    <w:rsid w:val="005B5BC8"/>
    <w:rsid w:val="005C5940"/>
    <w:rsid w:val="005C6BF3"/>
    <w:rsid w:val="005D208D"/>
    <w:rsid w:val="005D2F24"/>
    <w:rsid w:val="005D7AEB"/>
    <w:rsid w:val="005E0F10"/>
    <w:rsid w:val="005E4F4A"/>
    <w:rsid w:val="005F45F7"/>
    <w:rsid w:val="005F49F5"/>
    <w:rsid w:val="005F7615"/>
    <w:rsid w:val="005F7802"/>
    <w:rsid w:val="006015F8"/>
    <w:rsid w:val="00601FD0"/>
    <w:rsid w:val="00606C50"/>
    <w:rsid w:val="00611313"/>
    <w:rsid w:val="00612F77"/>
    <w:rsid w:val="00621D6D"/>
    <w:rsid w:val="00626210"/>
    <w:rsid w:val="00626CBC"/>
    <w:rsid w:val="00627601"/>
    <w:rsid w:val="00633B26"/>
    <w:rsid w:val="00637E19"/>
    <w:rsid w:val="00641755"/>
    <w:rsid w:val="006437E5"/>
    <w:rsid w:val="006448C8"/>
    <w:rsid w:val="006454C1"/>
    <w:rsid w:val="006531CF"/>
    <w:rsid w:val="006558D3"/>
    <w:rsid w:val="00656828"/>
    <w:rsid w:val="0065742F"/>
    <w:rsid w:val="00670B98"/>
    <w:rsid w:val="00673016"/>
    <w:rsid w:val="00673E93"/>
    <w:rsid w:val="00675977"/>
    <w:rsid w:val="00680D56"/>
    <w:rsid w:val="00687002"/>
    <w:rsid w:val="00687A7C"/>
    <w:rsid w:val="0069044B"/>
    <w:rsid w:val="006957E5"/>
    <w:rsid w:val="006A2F7B"/>
    <w:rsid w:val="006A40F4"/>
    <w:rsid w:val="006A529C"/>
    <w:rsid w:val="006B5E71"/>
    <w:rsid w:val="006B7C06"/>
    <w:rsid w:val="006C087C"/>
    <w:rsid w:val="006D46A8"/>
    <w:rsid w:val="006D502F"/>
    <w:rsid w:val="006E119A"/>
    <w:rsid w:val="006E2521"/>
    <w:rsid w:val="006E33B3"/>
    <w:rsid w:val="006E6F90"/>
    <w:rsid w:val="006F1C1C"/>
    <w:rsid w:val="006F42A4"/>
    <w:rsid w:val="006F4EA1"/>
    <w:rsid w:val="007004CC"/>
    <w:rsid w:val="00700BFD"/>
    <w:rsid w:val="00720832"/>
    <w:rsid w:val="00722BCB"/>
    <w:rsid w:val="00723028"/>
    <w:rsid w:val="00731137"/>
    <w:rsid w:val="00733595"/>
    <w:rsid w:val="00735378"/>
    <w:rsid w:val="007408F4"/>
    <w:rsid w:val="00755CEF"/>
    <w:rsid w:val="00756FC7"/>
    <w:rsid w:val="007571F2"/>
    <w:rsid w:val="00761FF2"/>
    <w:rsid w:val="007651D2"/>
    <w:rsid w:val="007669B0"/>
    <w:rsid w:val="00773277"/>
    <w:rsid w:val="00773477"/>
    <w:rsid w:val="007749F3"/>
    <w:rsid w:val="00781BEB"/>
    <w:rsid w:val="007834D6"/>
    <w:rsid w:val="00794030"/>
    <w:rsid w:val="007946D1"/>
    <w:rsid w:val="007A591B"/>
    <w:rsid w:val="007B2136"/>
    <w:rsid w:val="007B2F1E"/>
    <w:rsid w:val="007B4646"/>
    <w:rsid w:val="007B6319"/>
    <w:rsid w:val="007C184A"/>
    <w:rsid w:val="007C186B"/>
    <w:rsid w:val="007C4331"/>
    <w:rsid w:val="007D2190"/>
    <w:rsid w:val="007E19A7"/>
    <w:rsid w:val="007E5CD4"/>
    <w:rsid w:val="007E72E2"/>
    <w:rsid w:val="007F3F23"/>
    <w:rsid w:val="0081714D"/>
    <w:rsid w:val="00821BB7"/>
    <w:rsid w:val="008230C8"/>
    <w:rsid w:val="00825D38"/>
    <w:rsid w:val="008307A1"/>
    <w:rsid w:val="00833001"/>
    <w:rsid w:val="0083503F"/>
    <w:rsid w:val="008375AC"/>
    <w:rsid w:val="00837917"/>
    <w:rsid w:val="00843CA8"/>
    <w:rsid w:val="008539EA"/>
    <w:rsid w:val="008558FE"/>
    <w:rsid w:val="00855FB4"/>
    <w:rsid w:val="008575A0"/>
    <w:rsid w:val="00871D04"/>
    <w:rsid w:val="00871E70"/>
    <w:rsid w:val="0088066A"/>
    <w:rsid w:val="0089360E"/>
    <w:rsid w:val="0089731C"/>
    <w:rsid w:val="008A0809"/>
    <w:rsid w:val="008A65A0"/>
    <w:rsid w:val="008B05F4"/>
    <w:rsid w:val="008B743C"/>
    <w:rsid w:val="008C62F4"/>
    <w:rsid w:val="008C7A20"/>
    <w:rsid w:val="008C7D96"/>
    <w:rsid w:val="008D05AE"/>
    <w:rsid w:val="008D1F33"/>
    <w:rsid w:val="008F4C11"/>
    <w:rsid w:val="0090048D"/>
    <w:rsid w:val="00903F9F"/>
    <w:rsid w:val="00906F47"/>
    <w:rsid w:val="009100A1"/>
    <w:rsid w:val="00913BA6"/>
    <w:rsid w:val="00920901"/>
    <w:rsid w:val="00921D2A"/>
    <w:rsid w:val="009333CD"/>
    <w:rsid w:val="0094264D"/>
    <w:rsid w:val="009443FE"/>
    <w:rsid w:val="00944EB0"/>
    <w:rsid w:val="0095279D"/>
    <w:rsid w:val="00964725"/>
    <w:rsid w:val="009702C0"/>
    <w:rsid w:val="00972BB1"/>
    <w:rsid w:val="009739FF"/>
    <w:rsid w:val="00981D47"/>
    <w:rsid w:val="009843AF"/>
    <w:rsid w:val="009873DB"/>
    <w:rsid w:val="009930A4"/>
    <w:rsid w:val="00993134"/>
    <w:rsid w:val="00996B0F"/>
    <w:rsid w:val="00997FA7"/>
    <w:rsid w:val="009A091B"/>
    <w:rsid w:val="009A7CF3"/>
    <w:rsid w:val="009B13AD"/>
    <w:rsid w:val="009B324F"/>
    <w:rsid w:val="009B470C"/>
    <w:rsid w:val="009B5DEC"/>
    <w:rsid w:val="009C0C8A"/>
    <w:rsid w:val="009C3760"/>
    <w:rsid w:val="009C390E"/>
    <w:rsid w:val="009C6D80"/>
    <w:rsid w:val="009C78F4"/>
    <w:rsid w:val="009E1CF9"/>
    <w:rsid w:val="009E3CF0"/>
    <w:rsid w:val="009E451E"/>
    <w:rsid w:val="009E5C5B"/>
    <w:rsid w:val="009F367E"/>
    <w:rsid w:val="00A018CD"/>
    <w:rsid w:val="00A03156"/>
    <w:rsid w:val="00A05146"/>
    <w:rsid w:val="00A11E40"/>
    <w:rsid w:val="00A13805"/>
    <w:rsid w:val="00A1400B"/>
    <w:rsid w:val="00A2168B"/>
    <w:rsid w:val="00A25A70"/>
    <w:rsid w:val="00A26599"/>
    <w:rsid w:val="00A26A23"/>
    <w:rsid w:val="00A26E86"/>
    <w:rsid w:val="00A32345"/>
    <w:rsid w:val="00A457A7"/>
    <w:rsid w:val="00A46585"/>
    <w:rsid w:val="00A4705D"/>
    <w:rsid w:val="00A5050A"/>
    <w:rsid w:val="00A52286"/>
    <w:rsid w:val="00A52B83"/>
    <w:rsid w:val="00A55DF4"/>
    <w:rsid w:val="00A746A3"/>
    <w:rsid w:val="00A756E1"/>
    <w:rsid w:val="00A7766C"/>
    <w:rsid w:val="00A855BF"/>
    <w:rsid w:val="00A907FB"/>
    <w:rsid w:val="00A9201D"/>
    <w:rsid w:val="00A9387A"/>
    <w:rsid w:val="00A970AA"/>
    <w:rsid w:val="00AA0D72"/>
    <w:rsid w:val="00AA7E4F"/>
    <w:rsid w:val="00AB05F9"/>
    <w:rsid w:val="00AB1771"/>
    <w:rsid w:val="00AB1A84"/>
    <w:rsid w:val="00AB75D3"/>
    <w:rsid w:val="00AC1C07"/>
    <w:rsid w:val="00AC6491"/>
    <w:rsid w:val="00AD354C"/>
    <w:rsid w:val="00AE08C6"/>
    <w:rsid w:val="00AF4EA1"/>
    <w:rsid w:val="00B0789F"/>
    <w:rsid w:val="00B07BA2"/>
    <w:rsid w:val="00B07D19"/>
    <w:rsid w:val="00B26E40"/>
    <w:rsid w:val="00B274FF"/>
    <w:rsid w:val="00B306B1"/>
    <w:rsid w:val="00B37217"/>
    <w:rsid w:val="00B37B7F"/>
    <w:rsid w:val="00B52232"/>
    <w:rsid w:val="00B53876"/>
    <w:rsid w:val="00B5572F"/>
    <w:rsid w:val="00B56261"/>
    <w:rsid w:val="00B750CE"/>
    <w:rsid w:val="00B80B4C"/>
    <w:rsid w:val="00B8208A"/>
    <w:rsid w:val="00B820B8"/>
    <w:rsid w:val="00B826D7"/>
    <w:rsid w:val="00B85059"/>
    <w:rsid w:val="00B973D8"/>
    <w:rsid w:val="00BA3D0D"/>
    <w:rsid w:val="00BA4757"/>
    <w:rsid w:val="00BA6615"/>
    <w:rsid w:val="00BB027B"/>
    <w:rsid w:val="00BB6668"/>
    <w:rsid w:val="00BB6C7A"/>
    <w:rsid w:val="00BB779F"/>
    <w:rsid w:val="00BC4A9D"/>
    <w:rsid w:val="00BC709D"/>
    <w:rsid w:val="00BD2B83"/>
    <w:rsid w:val="00BD5EAB"/>
    <w:rsid w:val="00BE269C"/>
    <w:rsid w:val="00BF7F76"/>
    <w:rsid w:val="00C00001"/>
    <w:rsid w:val="00C0358A"/>
    <w:rsid w:val="00C035E2"/>
    <w:rsid w:val="00C1609E"/>
    <w:rsid w:val="00C24B2E"/>
    <w:rsid w:val="00C2695D"/>
    <w:rsid w:val="00C42946"/>
    <w:rsid w:val="00C42AE9"/>
    <w:rsid w:val="00C46260"/>
    <w:rsid w:val="00C4655A"/>
    <w:rsid w:val="00C47FD7"/>
    <w:rsid w:val="00C50103"/>
    <w:rsid w:val="00C64E31"/>
    <w:rsid w:val="00C70EBA"/>
    <w:rsid w:val="00C809D4"/>
    <w:rsid w:val="00C82A01"/>
    <w:rsid w:val="00C9111E"/>
    <w:rsid w:val="00C92FC0"/>
    <w:rsid w:val="00C93D69"/>
    <w:rsid w:val="00C94CE8"/>
    <w:rsid w:val="00C97B7A"/>
    <w:rsid w:val="00CA2BF2"/>
    <w:rsid w:val="00CA5A8C"/>
    <w:rsid w:val="00CB6CE8"/>
    <w:rsid w:val="00CB78D0"/>
    <w:rsid w:val="00CC0C1B"/>
    <w:rsid w:val="00CC1EB3"/>
    <w:rsid w:val="00CD28F7"/>
    <w:rsid w:val="00CD4188"/>
    <w:rsid w:val="00CD666A"/>
    <w:rsid w:val="00CF7A78"/>
    <w:rsid w:val="00D01762"/>
    <w:rsid w:val="00D03D1D"/>
    <w:rsid w:val="00D12F05"/>
    <w:rsid w:val="00D17E36"/>
    <w:rsid w:val="00D22DFA"/>
    <w:rsid w:val="00D239EE"/>
    <w:rsid w:val="00D30666"/>
    <w:rsid w:val="00D36447"/>
    <w:rsid w:val="00D41802"/>
    <w:rsid w:val="00D42932"/>
    <w:rsid w:val="00D51BCB"/>
    <w:rsid w:val="00D630D7"/>
    <w:rsid w:val="00D6527E"/>
    <w:rsid w:val="00D669DE"/>
    <w:rsid w:val="00D675CA"/>
    <w:rsid w:val="00D6779D"/>
    <w:rsid w:val="00D7078E"/>
    <w:rsid w:val="00D73A9B"/>
    <w:rsid w:val="00D73B10"/>
    <w:rsid w:val="00D77395"/>
    <w:rsid w:val="00D81629"/>
    <w:rsid w:val="00D81D4A"/>
    <w:rsid w:val="00D8715F"/>
    <w:rsid w:val="00D9382B"/>
    <w:rsid w:val="00D93C9E"/>
    <w:rsid w:val="00D96A3D"/>
    <w:rsid w:val="00DA0B33"/>
    <w:rsid w:val="00DA3C4B"/>
    <w:rsid w:val="00DA48F1"/>
    <w:rsid w:val="00DC3E74"/>
    <w:rsid w:val="00DC5BBD"/>
    <w:rsid w:val="00DC6941"/>
    <w:rsid w:val="00DD1BDC"/>
    <w:rsid w:val="00DD52BD"/>
    <w:rsid w:val="00DD5527"/>
    <w:rsid w:val="00DF0501"/>
    <w:rsid w:val="00DF0B4B"/>
    <w:rsid w:val="00DF48D7"/>
    <w:rsid w:val="00E00087"/>
    <w:rsid w:val="00E03F8B"/>
    <w:rsid w:val="00E0526D"/>
    <w:rsid w:val="00E10898"/>
    <w:rsid w:val="00E1487B"/>
    <w:rsid w:val="00E156D6"/>
    <w:rsid w:val="00E162DB"/>
    <w:rsid w:val="00E1664C"/>
    <w:rsid w:val="00E24BF2"/>
    <w:rsid w:val="00E25AF0"/>
    <w:rsid w:val="00E30D82"/>
    <w:rsid w:val="00E31D73"/>
    <w:rsid w:val="00E336AC"/>
    <w:rsid w:val="00E34B49"/>
    <w:rsid w:val="00E35CDD"/>
    <w:rsid w:val="00E47D11"/>
    <w:rsid w:val="00E547BE"/>
    <w:rsid w:val="00E608A7"/>
    <w:rsid w:val="00E6223D"/>
    <w:rsid w:val="00E632B0"/>
    <w:rsid w:val="00E6434C"/>
    <w:rsid w:val="00E676B6"/>
    <w:rsid w:val="00E8098E"/>
    <w:rsid w:val="00E81FCF"/>
    <w:rsid w:val="00E87845"/>
    <w:rsid w:val="00E900A7"/>
    <w:rsid w:val="00E9766F"/>
    <w:rsid w:val="00EA152A"/>
    <w:rsid w:val="00EA23D8"/>
    <w:rsid w:val="00EA46A3"/>
    <w:rsid w:val="00EB48FB"/>
    <w:rsid w:val="00EB61FD"/>
    <w:rsid w:val="00EC47AE"/>
    <w:rsid w:val="00EC4A59"/>
    <w:rsid w:val="00ED3D7E"/>
    <w:rsid w:val="00ED65F0"/>
    <w:rsid w:val="00ED65F6"/>
    <w:rsid w:val="00EE0EFE"/>
    <w:rsid w:val="00EE566F"/>
    <w:rsid w:val="00EF4945"/>
    <w:rsid w:val="00F000AF"/>
    <w:rsid w:val="00F00DA8"/>
    <w:rsid w:val="00F0686B"/>
    <w:rsid w:val="00F148C0"/>
    <w:rsid w:val="00F200F0"/>
    <w:rsid w:val="00F24392"/>
    <w:rsid w:val="00F24A5B"/>
    <w:rsid w:val="00F51868"/>
    <w:rsid w:val="00F56F4F"/>
    <w:rsid w:val="00F57285"/>
    <w:rsid w:val="00F609DC"/>
    <w:rsid w:val="00F624DC"/>
    <w:rsid w:val="00F63A1E"/>
    <w:rsid w:val="00F725E9"/>
    <w:rsid w:val="00F73458"/>
    <w:rsid w:val="00F765D2"/>
    <w:rsid w:val="00F76B8F"/>
    <w:rsid w:val="00F775F0"/>
    <w:rsid w:val="00F813A6"/>
    <w:rsid w:val="00F917F3"/>
    <w:rsid w:val="00F9465F"/>
    <w:rsid w:val="00FA0622"/>
    <w:rsid w:val="00FA413B"/>
    <w:rsid w:val="00FA4186"/>
    <w:rsid w:val="00FA717F"/>
    <w:rsid w:val="00FB041A"/>
    <w:rsid w:val="00FB37AC"/>
    <w:rsid w:val="00FB75D7"/>
    <w:rsid w:val="00FC42A3"/>
    <w:rsid w:val="00FD0C73"/>
    <w:rsid w:val="00FE030C"/>
    <w:rsid w:val="00FE2CD4"/>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42BEB"/>
  <w15:docId w15:val="{A1043BF2-9DD3-4896-A92A-95E46C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50A"/>
    <w:pPr>
      <w:tabs>
        <w:tab w:val="center" w:pos="4320"/>
        <w:tab w:val="right" w:pos="8640"/>
      </w:tabs>
    </w:pPr>
  </w:style>
  <w:style w:type="paragraph" w:styleId="Footer">
    <w:name w:val="footer"/>
    <w:basedOn w:val="Normal"/>
    <w:rsid w:val="00A5050A"/>
    <w:pPr>
      <w:tabs>
        <w:tab w:val="center" w:pos="4320"/>
        <w:tab w:val="right" w:pos="8640"/>
      </w:tabs>
    </w:pPr>
  </w:style>
  <w:style w:type="character" w:styleId="PageNumber">
    <w:name w:val="page number"/>
    <w:basedOn w:val="DefaultParagraphFont"/>
    <w:rsid w:val="00A5050A"/>
  </w:style>
  <w:style w:type="paragraph" w:styleId="DocumentMap">
    <w:name w:val="Document Map"/>
    <w:basedOn w:val="Normal"/>
    <w:semiHidden/>
    <w:rsid w:val="002542C0"/>
    <w:pPr>
      <w:shd w:val="clear" w:color="auto" w:fill="000080"/>
    </w:pPr>
    <w:rPr>
      <w:rFonts w:ascii="Tahoma" w:hAnsi="Tahoma" w:cs="Tahoma"/>
      <w:sz w:val="20"/>
      <w:szCs w:val="20"/>
    </w:rPr>
  </w:style>
  <w:style w:type="paragraph" w:styleId="ListParagraph">
    <w:name w:val="List Paragraph"/>
    <w:basedOn w:val="Normal"/>
    <w:uiPriority w:val="34"/>
    <w:qFormat/>
    <w:rsid w:val="005B5BC8"/>
    <w:pPr>
      <w:ind w:left="720"/>
      <w:contextualSpacing/>
    </w:pPr>
  </w:style>
  <w:style w:type="paragraph" w:customStyle="1" w:styleId="Default">
    <w:name w:val="Default"/>
    <w:rsid w:val="005969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7448">
      <w:bodyDiv w:val="1"/>
      <w:marLeft w:val="0"/>
      <w:marRight w:val="0"/>
      <w:marTop w:val="0"/>
      <w:marBottom w:val="0"/>
      <w:divBdr>
        <w:top w:val="none" w:sz="0" w:space="0" w:color="auto"/>
        <w:left w:val="none" w:sz="0" w:space="0" w:color="auto"/>
        <w:bottom w:val="none" w:sz="0" w:space="0" w:color="auto"/>
        <w:right w:val="none" w:sz="0" w:space="0" w:color="auto"/>
      </w:divBdr>
    </w:div>
    <w:div w:id="14814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Draft as of 06/16/10</vt:lpstr>
    </vt:vector>
  </TitlesOfParts>
  <Company>Microsoft</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06/16/10</dc:title>
  <dc:creator>Bobbi Jo Shannon</dc:creator>
  <cp:lastModifiedBy>Carrie Ryan</cp:lastModifiedBy>
  <cp:revision>2</cp:revision>
  <cp:lastPrinted>2014-06-13T15:17:00Z</cp:lastPrinted>
  <dcterms:created xsi:type="dcterms:W3CDTF">2021-11-16T15:11:00Z</dcterms:created>
  <dcterms:modified xsi:type="dcterms:W3CDTF">2021-11-16T15:11:00Z</dcterms:modified>
</cp:coreProperties>
</file>